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504"/>
        <w:gridCol w:w="1621"/>
        <w:gridCol w:w="421"/>
        <w:gridCol w:w="921"/>
        <w:gridCol w:w="1561"/>
        <w:gridCol w:w="2127"/>
      </w:tblGrid>
      <w:tr w:rsidR="00D26D27" w:rsidRPr="00BD2127" w:rsidTr="00A1389E">
        <w:trPr>
          <w:trHeight w:val="510"/>
          <w:jc w:val="center"/>
        </w:trPr>
        <w:tc>
          <w:tcPr>
            <w:tcW w:w="8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GUIA DE TRANSFERÊNCIA</w:t>
            </w: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DE DOCUMENTOS - ARQUIVO CENTRAL</w:t>
            </w:r>
          </w:p>
        </w:tc>
      </w:tr>
      <w:tr w:rsidR="00D26D27" w:rsidRPr="00BD2127" w:rsidTr="00A1389E">
        <w:trPr>
          <w:trHeight w:val="533"/>
          <w:jc w:val="center"/>
        </w:trPr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B76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PRODUTORA</w:t>
            </w:r>
            <w:bookmarkStart w:id="0" w:name="_GoBack"/>
            <w:bookmarkEnd w:id="0"/>
          </w:p>
          <w:p w:rsidR="00D26D27" w:rsidRPr="00BD21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D27" w:rsidRPr="00AC293E" w:rsidRDefault="00D26D27" w:rsidP="009C70AC">
            <w:pPr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BD2127" w:rsidTr="00A1389E">
        <w:trPr>
          <w:trHeight w:val="510"/>
          <w:jc w:val="center"/>
        </w:trPr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UNIDADE </w:t>
            </w: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</w:t>
            </w: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PELA TRANSFERÊNCIA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BD2127" w:rsidTr="00A1389E">
        <w:trPr>
          <w:trHeight w:val="660"/>
          <w:jc w:val="center"/>
        </w:trPr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>GÊNERO DOCUMENTAL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D2127">
              <w:rPr>
                <w:color w:val="000000"/>
                <w:sz w:val="20"/>
                <w:szCs w:val="20"/>
                <w:lang w:eastAsia="pt-BR"/>
              </w:rPr>
              <w:t>(   )TEXTUAL   (   )ICONOGRÁFICO</w:t>
            </w: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C15FC">
              <w:rPr>
                <w:color w:val="000000"/>
                <w:sz w:val="20"/>
                <w:szCs w:val="20"/>
                <w:lang w:eastAsia="pt-BR"/>
              </w:rPr>
              <w:t xml:space="preserve"> (   )CARTOGRÁFICO   (   </w:t>
            </w:r>
            <w:r w:rsidRPr="00BD2127">
              <w:rPr>
                <w:color w:val="000000"/>
                <w:sz w:val="20"/>
                <w:szCs w:val="20"/>
                <w:lang w:eastAsia="pt-BR"/>
              </w:rPr>
              <w:t xml:space="preserve">)INFORMÁTICO     </w:t>
            </w: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 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BD2127">
              <w:rPr>
                <w:color w:val="000000"/>
                <w:sz w:val="20"/>
                <w:szCs w:val="20"/>
                <w:lang w:eastAsia="pt-BR"/>
              </w:rPr>
              <w:t>(   )OUTROS _______________________</w:t>
            </w:r>
          </w:p>
        </w:tc>
      </w:tr>
      <w:tr w:rsidR="00EB2B76" w:rsidRPr="00BD2127" w:rsidTr="00A1389E">
        <w:trPr>
          <w:trHeight w:val="510"/>
          <w:jc w:val="center"/>
        </w:trPr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B76" w:rsidRPr="00BD2127" w:rsidRDefault="00EB2B76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>TIPOS DE DOCUMENTOS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FC" w:rsidRDefault="003C15FC" w:rsidP="003C15FC">
            <w:pPr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B2B76" w:rsidRPr="00BD2127">
              <w:rPr>
                <w:color w:val="000000"/>
                <w:sz w:val="20"/>
                <w:szCs w:val="20"/>
                <w:lang w:eastAsia="pt-BR"/>
              </w:rPr>
              <w:t>)DOCUMENTOS AVULSOS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(   )PROCESSOS </w:t>
            </w:r>
          </w:p>
          <w:p w:rsidR="00EB2B76" w:rsidRPr="00BD2127" w:rsidRDefault="003C15FC" w:rsidP="003C15FC">
            <w:pPr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="00EB2B76">
              <w:rPr>
                <w:color w:val="000000"/>
                <w:sz w:val="20"/>
                <w:szCs w:val="20"/>
                <w:lang w:eastAsia="pt-BR"/>
              </w:rPr>
              <w:t>DOSSIÊS</w:t>
            </w:r>
          </w:p>
        </w:tc>
      </w:tr>
      <w:tr w:rsidR="00D26D27" w:rsidRPr="00BD2127" w:rsidTr="00A1389E">
        <w:trPr>
          <w:trHeight w:val="510"/>
          <w:jc w:val="center"/>
        </w:trPr>
        <w:tc>
          <w:tcPr>
            <w:tcW w:w="3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BD21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D2127">
              <w:rPr>
                <w:b/>
                <w:bCs/>
                <w:color w:val="000000"/>
                <w:sz w:val="20"/>
                <w:szCs w:val="20"/>
                <w:lang w:eastAsia="pt-BR"/>
              </w:rPr>
              <w:t>ACONDICIONAMENTO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15FC" w:rsidRDefault="00D26D27" w:rsidP="009C70AC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D2127">
              <w:rPr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D2127">
              <w:rPr>
                <w:color w:val="000000"/>
                <w:sz w:val="20"/>
                <w:szCs w:val="20"/>
                <w:lang w:eastAsia="pt-BR"/>
              </w:rPr>
              <w:t xml:space="preserve"> )CAIXAS (   )PASTAS (   )ENVELOPES </w:t>
            </w: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 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</w:t>
            </w: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  <w:p w:rsidR="00D26D27" w:rsidRPr="00BD2127" w:rsidRDefault="00D26D27" w:rsidP="009C70AC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D2127">
              <w:rPr>
                <w:color w:val="000000"/>
                <w:sz w:val="20"/>
                <w:szCs w:val="20"/>
                <w:lang w:eastAsia="pt-BR"/>
              </w:rPr>
              <w:t>(   )OUTROS __________________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8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DOS DOCUMENTOS TRANSFERIDOS PARA GUARDA INTERMEDIÁRIA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CÓD. TTDD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QUANT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20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DATA-LIMITE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DESTINAÇÃO</w:t>
            </w:r>
          </w:p>
        </w:tc>
      </w:tr>
      <w:tr w:rsidR="00D26D27" w:rsidRPr="00891D39" w:rsidTr="00A1389E">
        <w:tblPrEx>
          <w:jc w:val="left"/>
        </w:tblPrEx>
        <w:trPr>
          <w:trHeight w:val="645"/>
        </w:trPr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ELIMINAÇÃO EM:</w:t>
            </w: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GUARDA PEMANENTE EM: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C15FC" w:rsidRPr="00891D39" w:rsidTr="00A1389E">
        <w:tblPrEx>
          <w:jc w:val="left"/>
        </w:tblPrEx>
        <w:trPr>
          <w:trHeight w:val="600"/>
        </w:trPr>
        <w:tc>
          <w:tcPr>
            <w:tcW w:w="8949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FC" w:rsidRPr="00891D39" w:rsidRDefault="003C15FC" w:rsidP="009C70AC">
            <w:pPr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3C15FC" w:rsidRPr="003C15FC" w:rsidRDefault="003C15FC" w:rsidP="003C15FC">
            <w:pPr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3C15FC">
              <w:rPr>
                <w:b/>
                <w:color w:val="000000"/>
                <w:sz w:val="20"/>
                <w:szCs w:val="20"/>
                <w:lang w:eastAsia="pt-BR"/>
              </w:rPr>
              <w:t> OBSERVAÇÕES:</w:t>
            </w:r>
            <w:r w:rsidRPr="003C15FC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3C15FC" w:rsidRPr="00891D39" w:rsidRDefault="003C15FC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3C15FC" w:rsidRPr="00891D39" w:rsidRDefault="003C15FC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:rsidR="003C15FC" w:rsidRPr="00891D39" w:rsidRDefault="003C15FC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27" w:rsidRPr="00891D39" w:rsidRDefault="00D26D27" w:rsidP="00775DA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pela unidade </w:t>
            </w:r>
            <w:r w:rsidR="00775DAA">
              <w:rPr>
                <w:b/>
                <w:bCs/>
                <w:color w:val="000000"/>
                <w:sz w:val="20"/>
                <w:szCs w:val="20"/>
                <w:lang w:eastAsia="pt-BR"/>
              </w:rPr>
              <w:t>de procedência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D27" w:rsidRPr="00EB2B76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B2B76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Responsável pela transferência </w:t>
            </w:r>
          </w:p>
          <w:p w:rsidR="00D26D27" w:rsidRPr="00891D39" w:rsidRDefault="00D26D27" w:rsidP="009C70A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B2B76">
              <w:rPr>
                <w:b/>
                <w:bCs/>
                <w:color w:val="000000"/>
                <w:sz w:val="20"/>
                <w:szCs w:val="20"/>
                <w:lang w:eastAsia="pt-BR"/>
              </w:rPr>
              <w:t>(Arquivo Central</w:t>
            </w:r>
            <w:r w:rsidR="00775DAA"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ou UAPS</w:t>
            </w:r>
            <w:r w:rsidRPr="00EB2B76">
              <w:rPr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Nome: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>Função: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Data: 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Data: </w:t>
            </w:r>
          </w:p>
        </w:tc>
      </w:tr>
      <w:tr w:rsidR="00D26D27" w:rsidRPr="00891D39" w:rsidTr="00A1389E">
        <w:tblPrEx>
          <w:jc w:val="left"/>
        </w:tblPrEx>
        <w:trPr>
          <w:trHeight w:val="300"/>
        </w:trPr>
        <w:tc>
          <w:tcPr>
            <w:tcW w:w="4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</w:tc>
        <w:tc>
          <w:tcPr>
            <w:tcW w:w="4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D27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  <w:r w:rsidRPr="00891D39">
              <w:rPr>
                <w:color w:val="000000"/>
                <w:sz w:val="20"/>
                <w:szCs w:val="20"/>
                <w:lang w:eastAsia="pt-BR"/>
              </w:rPr>
              <w:t xml:space="preserve">Assinatura e carimbo: </w:t>
            </w:r>
          </w:p>
          <w:p w:rsidR="00D26D27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  <w:p w:rsidR="00D26D27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  <w:p w:rsidR="00D26D27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  <w:p w:rsidR="00D26D27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  <w:p w:rsidR="00D26D27" w:rsidRPr="00891D39" w:rsidRDefault="00D26D27" w:rsidP="009C70AC">
            <w:pPr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517"/>
        </w:trPr>
        <w:tc>
          <w:tcPr>
            <w:tcW w:w="4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rFonts w:ascii="Calibri" w:hAnsi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D27" w:rsidRPr="00891D39" w:rsidRDefault="00D26D27" w:rsidP="009C70AC">
            <w:pPr>
              <w:rPr>
                <w:rFonts w:ascii="Calibri" w:hAnsi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26D27" w:rsidRPr="00891D39" w:rsidTr="00A1389E">
        <w:tblPrEx>
          <w:jc w:val="left"/>
        </w:tblPrEx>
        <w:trPr>
          <w:trHeight w:val="517"/>
        </w:trPr>
        <w:tc>
          <w:tcPr>
            <w:tcW w:w="4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27" w:rsidRPr="00891D39" w:rsidRDefault="00D26D27" w:rsidP="009C70AC">
            <w:pPr>
              <w:rPr>
                <w:rFonts w:ascii="Calibri" w:hAnsi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D27" w:rsidRPr="00891D39" w:rsidRDefault="00D26D27" w:rsidP="009C70AC">
            <w:pPr>
              <w:rPr>
                <w:rFonts w:ascii="Calibri" w:hAnsi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26D27" w:rsidRDefault="00D26D27" w:rsidP="00D26D27">
      <w:pPr>
        <w:pStyle w:val="Default"/>
        <w:spacing w:line="360" w:lineRule="auto"/>
        <w:jc w:val="both"/>
        <w:rPr>
          <w:rFonts w:ascii="Times New Roman" w:eastAsia="Arial Unicode MS" w:hAnsi="Times New Roman" w:cs="Times New Roman"/>
          <w:color w:val="auto"/>
          <w:kern w:val="1"/>
          <w:lang w:eastAsia="ar-SA"/>
        </w:rPr>
      </w:pPr>
    </w:p>
    <w:p w:rsidR="00D26D27" w:rsidRDefault="00D26D27" w:rsidP="00D26D27">
      <w:pPr>
        <w:pStyle w:val="Default"/>
        <w:spacing w:line="360" w:lineRule="auto"/>
        <w:jc w:val="both"/>
        <w:rPr>
          <w:rFonts w:ascii="Times New Roman" w:eastAsia="Arial Unicode MS" w:hAnsi="Times New Roman" w:cs="Times New Roman"/>
          <w:color w:val="auto"/>
          <w:kern w:val="1"/>
          <w:lang w:eastAsia="ar-SA"/>
        </w:rPr>
      </w:pPr>
    </w:p>
    <w:p w:rsidR="00D26D27" w:rsidRDefault="00D26D27" w:rsidP="00D26D27">
      <w:pPr>
        <w:jc w:val="center"/>
      </w:pPr>
      <w:r>
        <w:lastRenderedPageBreak/>
        <w:t>INSTRUÇÕES PARA PREENCHIMENTO DA GUIA DE TRANSFERÊNCIA DE DOCUMENTOS</w:t>
      </w:r>
    </w:p>
    <w:p w:rsidR="00D26D27" w:rsidRDefault="00D26D27" w:rsidP="00D26D27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>
              <w:rPr>
                <w:b/>
              </w:rPr>
              <w:t>Unidade produtora</w:t>
            </w:r>
            <w:r w:rsidRPr="00AD459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Nome da unidade que produziu os documentos.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 xml:space="preserve">Unidade </w:t>
            </w:r>
            <w:r>
              <w:rPr>
                <w:b/>
                <w:bCs/>
                <w:color w:val="000000"/>
                <w:lang w:eastAsia="pt-BR"/>
              </w:rPr>
              <w:t>responsável pela transferência</w:t>
            </w:r>
            <w:r w:rsidRPr="00AD4590">
              <w:rPr>
                <w:b/>
                <w:bCs/>
                <w:color w:val="000000"/>
                <w:lang w:eastAsia="pt-BR"/>
              </w:rPr>
              <w:t>:</w:t>
            </w:r>
            <w:r w:rsidRPr="00AD4590">
              <w:rPr>
                <w:b/>
              </w:rPr>
              <w:t xml:space="preserve"> </w:t>
            </w:r>
            <w:r>
              <w:t xml:space="preserve">Nome da unidade responsável </w:t>
            </w:r>
            <w:r w:rsidR="00775DAA">
              <w:t>pela transferência</w:t>
            </w:r>
            <w:r>
              <w:t xml:space="preserve"> dos documentos, que pode ser a Gerência de Gestão de Documentos ou as Unidades de Arquivo e Protocolo Setoriais – UAPS, ambos vinculados ao Arquivo Central.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Gênero documental:</w:t>
            </w:r>
            <w:r>
              <w:rPr>
                <w:b/>
                <w:bCs/>
                <w:color w:val="000000"/>
                <w:lang w:eastAsia="pt-BR"/>
              </w:rPr>
              <w:t xml:space="preserve"> </w:t>
            </w:r>
            <w:r w:rsidRPr="007837C4">
              <w:t>Configuração que assume um documento de acordo com o sistema de signos utilizados na comunicação de seu conteúdo. Por exemplo: textual, iconográfico, audiovisual, cartográfico, informático, filmográ</w:t>
            </w:r>
            <w:r>
              <w:t>fico, micrográfico, sonoro, etc.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Pr="00782706" w:rsidRDefault="00D26D27" w:rsidP="009C70AC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Tipos de documentos:</w:t>
            </w:r>
            <w:r>
              <w:rPr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bCs/>
                <w:color w:val="000000"/>
                <w:lang w:eastAsia="pt-BR"/>
              </w:rPr>
              <w:t>Não se refere aqui à tipologia documental, mas apenas se são documentos avulsos ou processos.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AD4590">
              <w:rPr>
                <w:b/>
                <w:bCs/>
                <w:color w:val="000000"/>
                <w:lang w:eastAsia="pt-BR"/>
              </w:rPr>
              <w:t>Acondicionamento:</w:t>
            </w:r>
            <w:r>
              <w:rPr>
                <w:b/>
                <w:bCs/>
                <w:color w:val="000000"/>
                <w:lang w:eastAsia="pt-BR"/>
              </w:rPr>
              <w:t xml:space="preserve"> </w:t>
            </w:r>
            <w:r w:rsidRPr="00E145ED">
              <w:t>Embalagem ou guarda de docum</w:t>
            </w:r>
            <w:r>
              <w:t>entos visando à sua preservação.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AD4590">
              <w:rPr>
                <w:b/>
              </w:rPr>
              <w:t xml:space="preserve">Assunto: </w:t>
            </w:r>
            <w:r>
              <w:t>Identificação do conteúdo do documento de acordo com o código da Tabela</w:t>
            </w:r>
            <w:r w:rsidRPr="00A64F98">
              <w:t xml:space="preserve"> </w:t>
            </w:r>
            <w:r>
              <w:t>de Temporalidade e Destinação de Documentos.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AD4590">
              <w:rPr>
                <w:b/>
              </w:rPr>
              <w:t xml:space="preserve">Quantidade: </w:t>
            </w:r>
            <w:r>
              <w:t>Número quantitativo de documentos referente a unidade de acondicionamento, que possuem o mesmo código de classificação.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F910B9">
              <w:rPr>
                <w:b/>
              </w:rPr>
              <w:t>Data-limite:</w:t>
            </w:r>
            <w:r>
              <w:rPr>
                <w:b/>
              </w:rPr>
              <w:t xml:space="preserve"> </w:t>
            </w:r>
            <w:r>
              <w:t>Indicar o ano do documento mais antigo e do mais recente referente ao mesmo código de classificação.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ED4E1D">
              <w:rPr>
                <w:b/>
              </w:rPr>
              <w:t>Destinação:</w:t>
            </w:r>
            <w:r>
              <w:t xml:space="preserve"> Indicar o ano em que está prevista a eliminação ou a guarda permanente, conforme o prazo de guarda e a destinação final constantes na Tabela</w:t>
            </w:r>
            <w:r w:rsidRPr="00A64F98">
              <w:t xml:space="preserve"> </w:t>
            </w:r>
            <w:r>
              <w:t>de Temporalidade e Destinação de Documentos.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Default="00D26D27" w:rsidP="009C70AC">
            <w:pPr>
              <w:jc w:val="both"/>
            </w:pPr>
            <w:r w:rsidRPr="00F910B9">
              <w:rPr>
                <w:b/>
              </w:rPr>
              <w:t xml:space="preserve">Responsável pela </w:t>
            </w:r>
            <w:r w:rsidR="00775DAA">
              <w:rPr>
                <w:b/>
              </w:rPr>
              <w:t xml:space="preserve">unidade de </w:t>
            </w:r>
            <w:r w:rsidRPr="00F910B9">
              <w:rPr>
                <w:b/>
              </w:rPr>
              <w:t xml:space="preserve">procedência: </w:t>
            </w:r>
            <w:r>
              <w:t xml:space="preserve">O (a) servidor (a) da unidade ou órgão de onde os documentos </w:t>
            </w:r>
            <w:r w:rsidR="00775DAA">
              <w:t>estão sendo transferidos</w:t>
            </w:r>
            <w:r>
              <w:t xml:space="preserve"> deve preencher os campos constantes nesse quadro.</w:t>
            </w:r>
          </w:p>
          <w:p w:rsidR="00D26D27" w:rsidRDefault="00D26D27" w:rsidP="009C70AC">
            <w:pPr>
              <w:jc w:val="both"/>
            </w:pPr>
          </w:p>
        </w:tc>
      </w:tr>
      <w:tr w:rsidR="00D26D27" w:rsidTr="009C70AC">
        <w:tc>
          <w:tcPr>
            <w:tcW w:w="8643" w:type="dxa"/>
          </w:tcPr>
          <w:p w:rsidR="00D26D27" w:rsidRPr="006E63E8" w:rsidRDefault="00775DAA" w:rsidP="009C70AC">
            <w:pPr>
              <w:jc w:val="both"/>
            </w:pPr>
            <w:r>
              <w:rPr>
                <w:b/>
              </w:rPr>
              <w:t>Responsável pela transferência</w:t>
            </w:r>
            <w:r w:rsidR="00D26D27" w:rsidRPr="00F910B9">
              <w:rPr>
                <w:b/>
              </w:rPr>
              <w:t xml:space="preserve">: </w:t>
            </w:r>
            <w:r w:rsidR="00D26D27" w:rsidRPr="006E63E8">
              <w:t>Este campo é de preenchimento exclusivo do Arquivo Central</w:t>
            </w:r>
            <w:r>
              <w:t xml:space="preserve"> e das </w:t>
            </w:r>
            <w:r w:rsidRPr="006E63E8">
              <w:t xml:space="preserve">Unidades de </w:t>
            </w:r>
            <w:r>
              <w:t>Arquivo e Protocolo Setoriais (</w:t>
            </w:r>
            <w:r w:rsidRPr="006E63E8">
              <w:t>UAPS</w:t>
            </w:r>
            <w:r>
              <w:t>)</w:t>
            </w:r>
            <w:r w:rsidRPr="006E63E8">
              <w:t xml:space="preserve">. </w:t>
            </w:r>
          </w:p>
          <w:p w:rsidR="00D26D27" w:rsidRPr="00F910B9" w:rsidRDefault="00D26D27" w:rsidP="009C70AC">
            <w:pPr>
              <w:jc w:val="both"/>
              <w:rPr>
                <w:b/>
              </w:rPr>
            </w:pPr>
          </w:p>
        </w:tc>
      </w:tr>
    </w:tbl>
    <w:p w:rsidR="00D26D27" w:rsidRDefault="00D26D27" w:rsidP="00D26D27">
      <w:pPr>
        <w:jc w:val="both"/>
      </w:pPr>
    </w:p>
    <w:p w:rsidR="00D26D27" w:rsidRPr="00A8787E" w:rsidRDefault="00D26D27" w:rsidP="00D26D27">
      <w:pPr>
        <w:spacing w:line="360" w:lineRule="auto"/>
        <w:jc w:val="both"/>
      </w:pPr>
    </w:p>
    <w:p w:rsidR="00D26D27" w:rsidRPr="00D43C49" w:rsidRDefault="00D26D27" w:rsidP="00D26D27">
      <w:pPr>
        <w:pStyle w:val="Default"/>
        <w:spacing w:line="360" w:lineRule="auto"/>
        <w:jc w:val="both"/>
        <w:rPr>
          <w:rFonts w:ascii="Times New Roman" w:eastAsia="Arial Unicode MS" w:hAnsi="Times New Roman" w:cs="Times New Roman"/>
          <w:color w:val="auto"/>
          <w:kern w:val="1"/>
          <w:lang w:eastAsia="ar-SA"/>
        </w:rPr>
      </w:pPr>
    </w:p>
    <w:p w:rsidR="00486EEC" w:rsidRDefault="00A31EBD"/>
    <w:sectPr w:rsidR="00486EEC" w:rsidSect="00C34B44">
      <w:headerReference w:type="default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BD" w:rsidRDefault="00A31EBD" w:rsidP="00550AB9">
      <w:r>
        <w:separator/>
      </w:r>
    </w:p>
  </w:endnote>
  <w:endnote w:type="continuationSeparator" w:id="0">
    <w:p w:rsidR="00A31EBD" w:rsidRDefault="00A31EBD" w:rsidP="0055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dvie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FC" w:rsidRDefault="003C15FC" w:rsidP="003C15F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Arquivo Central - AC </w:t>
    </w:r>
  </w:p>
  <w:p w:rsidR="003C15FC" w:rsidRDefault="003C15FC" w:rsidP="003C15F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Silva Ramos, 32, Tijuca - RJ Tel.: (21) 2542-3199</w:t>
    </w:r>
  </w:p>
  <w:p w:rsidR="003C15FC" w:rsidRDefault="003C15FC" w:rsidP="003C15F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hyperlink r:id="rId1" w:history="1">
      <w:r w:rsidRPr="00DB5060">
        <w:rPr>
          <w:rStyle w:val="Hyperlink"/>
          <w:sz w:val="16"/>
          <w:szCs w:val="16"/>
        </w:rPr>
        <w:t>http://www.unirio.br/arquivocentral</w:t>
      </w:r>
    </w:hyperlink>
    <w:r>
      <w:rPr>
        <w:sz w:val="16"/>
        <w:szCs w:val="16"/>
      </w:rPr>
      <w:t xml:space="preserve"> </w:t>
    </w:r>
  </w:p>
  <w:p w:rsidR="003C15FC" w:rsidRDefault="003C15FC" w:rsidP="003C15FC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arquivo.central@unirio.br</w:t>
    </w:r>
  </w:p>
  <w:p w:rsidR="0084028D" w:rsidRDefault="00A31E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CA" w:rsidRDefault="00D26D27" w:rsidP="00FB34C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Arquivo Central - AC </w:t>
    </w:r>
  </w:p>
  <w:p w:rsidR="00FB34CA" w:rsidRDefault="003C15FC" w:rsidP="00FB34C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Silva Ramos, 32</w:t>
    </w:r>
    <w:r w:rsidR="00D26D27">
      <w:rPr>
        <w:sz w:val="16"/>
        <w:szCs w:val="16"/>
      </w:rPr>
      <w:t>, Tijuca - RJ Tel.: (21) 2542-3199</w:t>
    </w:r>
  </w:p>
  <w:p w:rsidR="00FB34CA" w:rsidRDefault="00D26D27" w:rsidP="00FB34C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hyperlink r:id="rId1" w:history="1">
      <w:r w:rsidRPr="00DB5060">
        <w:rPr>
          <w:rStyle w:val="Hyperlink"/>
          <w:sz w:val="16"/>
          <w:szCs w:val="16"/>
        </w:rPr>
        <w:t>http://www.unirio.br/arquivocentral</w:t>
      </w:r>
    </w:hyperlink>
    <w:r>
      <w:rPr>
        <w:sz w:val="16"/>
        <w:szCs w:val="16"/>
      </w:rPr>
      <w:t xml:space="preserve"> </w:t>
    </w:r>
  </w:p>
  <w:p w:rsidR="006A43D3" w:rsidRDefault="00D26D27" w:rsidP="00FB34CA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arquivo.central@unirio.br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BD" w:rsidRDefault="00A31EBD" w:rsidP="00550AB9">
      <w:r>
        <w:separator/>
      </w:r>
    </w:p>
  </w:footnote>
  <w:footnote w:type="continuationSeparator" w:id="0">
    <w:p w:rsidR="00A31EBD" w:rsidRDefault="00A31EBD" w:rsidP="0055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8D" w:rsidRDefault="00D26D27" w:rsidP="0084028D">
    <w:pPr>
      <w:autoSpaceDE w:val="0"/>
      <w:spacing w:line="360" w:lineRule="auto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Arial" w:hAnsi="Arial" w:cs="Arial"/>
        <w:bCs/>
        <w:noProof/>
        <w:sz w:val="22"/>
        <w:szCs w:val="22"/>
        <w:lang w:eastAsia="pt-BR"/>
      </w:rPr>
      <w:drawing>
        <wp:inline distT="0" distB="0" distL="0" distR="0">
          <wp:extent cx="504825" cy="447675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028D" w:rsidRDefault="00D26D27" w:rsidP="0084028D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84028D" w:rsidRDefault="00A31E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D3" w:rsidRDefault="003C15FC">
    <w:pPr>
      <w:autoSpaceDE w:val="0"/>
      <w:spacing w:line="360" w:lineRule="auto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4320540</wp:posOffset>
              </wp:positionH>
              <wp:positionV relativeFrom="paragraph">
                <wp:posOffset>142875</wp:posOffset>
              </wp:positionV>
              <wp:extent cx="1791970" cy="2762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97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15FC" w:rsidRDefault="003C15FC" w:rsidP="003C15FC">
                          <w:pPr>
                            <w:shd w:val="clear" w:color="auto" w:fill="FFFFFF" w:themeFill="background1"/>
                          </w:pPr>
                          <w:r>
                            <w:t xml:space="preserve">           TTDD: 063.63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0.2pt;margin-top:11.25pt;width:141.1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">
              <v:textbox style="mso-fit-shape-to-text:t">
                <w:txbxContent>
                  <w:p w:rsidR="003C15FC" w:rsidRDefault="003C15FC" w:rsidP="003C15FC">
                    <w:pPr>
                      <w:shd w:val="clear" w:color="auto" w:fill="FFFFFF" w:themeFill="background1"/>
                    </w:pPr>
                    <w:r>
                      <w:t xml:space="preserve">           TTDD: 063.63</w:t>
                    </w:r>
                  </w:p>
                </w:txbxContent>
              </v:textbox>
            </v:shape>
          </w:pict>
        </mc:Fallback>
      </mc:AlternateContent>
    </w:r>
    <w:r w:rsidR="00D26D27">
      <w:rPr>
        <w:rFonts w:ascii="Arial" w:hAnsi="Arial" w:cs="Arial"/>
        <w:bCs/>
        <w:noProof/>
        <w:sz w:val="22"/>
        <w:szCs w:val="22"/>
        <w:lang w:eastAsia="pt-BR"/>
      </w:rPr>
      <w:drawing>
        <wp:inline distT="0" distB="0" distL="0" distR="0">
          <wp:extent cx="504825" cy="4476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43D3" w:rsidRDefault="00D26D27">
    <w:pPr>
      <w:autoSpaceDE w:val="0"/>
      <w:jc w:val="center"/>
      <w:rPr>
        <w:rFonts w:ascii="brodview" w:hAnsi="brodview" w:cs="Arial"/>
        <w:bCs/>
        <w:color w:val="333333"/>
        <w:sz w:val="28"/>
        <w:szCs w:val="28"/>
      </w:rPr>
    </w:pPr>
    <w:r>
      <w:rPr>
        <w:rFonts w:ascii="brodview" w:hAnsi="brodview" w:cs="Arial"/>
        <w:bCs/>
        <w:color w:val="333333"/>
        <w:sz w:val="28"/>
        <w:szCs w:val="28"/>
      </w:rPr>
      <w:t>Universidade Federal do Estado do Rio de Janeiro - UNIRIO</w:t>
    </w:r>
  </w:p>
  <w:p w:rsidR="006A43D3" w:rsidRDefault="00A31EBD">
    <w:pPr>
      <w:pStyle w:val="Cabealho"/>
      <w:rPr>
        <w:rFonts w:ascii="brodview" w:hAnsi="brodvi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27"/>
    <w:rsid w:val="000B1C33"/>
    <w:rsid w:val="00375B15"/>
    <w:rsid w:val="003C15FC"/>
    <w:rsid w:val="0047458C"/>
    <w:rsid w:val="00521F37"/>
    <w:rsid w:val="00550AB9"/>
    <w:rsid w:val="00775DAA"/>
    <w:rsid w:val="00932C4C"/>
    <w:rsid w:val="00A1389E"/>
    <w:rsid w:val="00A31EBD"/>
    <w:rsid w:val="00C518A4"/>
    <w:rsid w:val="00D26D27"/>
    <w:rsid w:val="00E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5093C"/>
  <w15:docId w15:val="{24B9833A-9588-468E-A90A-6C9E4D83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D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D26D27"/>
    <w:rPr>
      <w:color w:val="0000FF"/>
      <w:u w:val="single"/>
    </w:rPr>
  </w:style>
  <w:style w:type="paragraph" w:styleId="Cabealho">
    <w:name w:val="header"/>
    <w:basedOn w:val="Normal"/>
    <w:link w:val="CabealhoChar"/>
    <w:semiHidden/>
    <w:rsid w:val="00D26D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26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D26D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26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2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6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arquivocentr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io.br/arquivocent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isabela.silva</dc:creator>
  <cp:lastModifiedBy>ISABELA COSTA DA SILVA</cp:lastModifiedBy>
  <cp:revision>6</cp:revision>
  <dcterms:created xsi:type="dcterms:W3CDTF">2019-08-13T19:51:00Z</dcterms:created>
  <dcterms:modified xsi:type="dcterms:W3CDTF">2019-08-13T19:56:00Z</dcterms:modified>
</cp:coreProperties>
</file>