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DB063" w14:textId="77777777" w:rsidR="00B13086" w:rsidRDefault="00B13086" w:rsidP="00B13086">
      <w:pPr>
        <w:spacing w:after="0" w:line="360" w:lineRule="auto"/>
        <w:ind w:left="357"/>
        <w:jc w:val="both"/>
        <w:rPr>
          <w:b/>
          <w:bCs/>
        </w:rPr>
      </w:pPr>
      <w:r w:rsidRPr="00A275C0">
        <w:rPr>
          <w:b/>
          <w:bCs/>
        </w:rPr>
        <w:t>Anexo 1: Projeto “Caravana Animal”</w:t>
      </w:r>
    </w:p>
    <w:p w14:paraId="13549DEF" w14:textId="77777777" w:rsidR="00B13086" w:rsidRDefault="00B13086" w:rsidP="00B13086">
      <w:pPr>
        <w:spacing w:after="0" w:line="360" w:lineRule="auto"/>
        <w:ind w:left="357"/>
        <w:jc w:val="both"/>
        <w:rPr>
          <w:b/>
          <w:bCs/>
        </w:rPr>
      </w:pPr>
    </w:p>
    <w:p w14:paraId="303B96BE" w14:textId="77777777" w:rsidR="00B13086" w:rsidRPr="00BA373D" w:rsidRDefault="00B13086" w:rsidP="00B13086">
      <w:pPr>
        <w:pStyle w:val="Cabealho"/>
        <w:jc w:val="center"/>
        <w:rPr>
          <w:rFonts w:ascii="Times New Roman" w:hAnsi="Times New Roman" w:cs="Times New Roman"/>
          <w:b/>
          <w:u w:val="single"/>
        </w:rPr>
      </w:pPr>
      <w:r w:rsidRPr="00BA373D">
        <w:rPr>
          <w:rFonts w:ascii="Times New Roman" w:hAnsi="Times New Roman" w:cs="Times New Roman"/>
          <w:b/>
          <w:u w:val="single"/>
        </w:rPr>
        <w:t>CARAVANA ANIMAL</w:t>
      </w:r>
    </w:p>
    <w:p w14:paraId="7912C459" w14:textId="77777777" w:rsidR="00B13086" w:rsidRPr="00BA373D" w:rsidRDefault="00B13086" w:rsidP="00B13086">
      <w:pPr>
        <w:pStyle w:val="Cabealho"/>
        <w:jc w:val="center"/>
        <w:rPr>
          <w:rFonts w:ascii="Times New Roman" w:hAnsi="Times New Roman" w:cs="Times New Roman"/>
          <w:b/>
          <w:u w:val="single"/>
        </w:rPr>
      </w:pPr>
    </w:p>
    <w:p w14:paraId="6003758E" w14:textId="77777777" w:rsidR="00B13086" w:rsidRPr="00BA373D" w:rsidRDefault="00B13086" w:rsidP="00B13086">
      <w:pPr>
        <w:pStyle w:val="Cabealho"/>
        <w:jc w:val="center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Atendimento de animais domésticos nas comunidades do Rio de Janeiro, incluindo castração. Funcionará em concomitância com “</w:t>
      </w:r>
      <w:r w:rsidRPr="00BA373D">
        <w:rPr>
          <w:rFonts w:ascii="Times New Roman" w:hAnsi="Times New Roman" w:cs="Times New Roman"/>
          <w:b/>
        </w:rPr>
        <w:t>OBSERVATÓRIO FLUMINENSE DE POLÍTICAS PÚBLICA EM DEFESA DOS ANIMAIS”</w:t>
      </w:r>
      <w:r w:rsidRPr="00BA373D">
        <w:rPr>
          <w:rFonts w:ascii="Times New Roman" w:hAnsi="Times New Roman" w:cs="Times New Roman"/>
        </w:rPr>
        <w:t>.</w:t>
      </w:r>
    </w:p>
    <w:p w14:paraId="7FC19FB9" w14:textId="77777777" w:rsidR="00B13086" w:rsidRPr="00BA373D" w:rsidRDefault="00B13086" w:rsidP="00B13086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1985ED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6833A98A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373D">
        <w:rPr>
          <w:rFonts w:ascii="Times New Roman" w:hAnsi="Times New Roman" w:cs="Times New Roman"/>
          <w:b/>
          <w:u w:val="single"/>
        </w:rPr>
        <w:t>1- INTRODUÇÃO</w:t>
      </w:r>
    </w:p>
    <w:p w14:paraId="20FC082C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Devido à relação estreita entre o homem e os animais ao longo da história, a saúde e a doença em ambas as populações estão intrinsecamente relacionadas. A saúde pública veterinária deve a sua origem e o seu desenvolvimento a esta relação.</w:t>
      </w:r>
    </w:p>
    <w:p w14:paraId="7FD24F2E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 estreita ligação de convivência entre o homem e os animais, desde a sua origem até hoje, permitiu a subsistência, promoveu o conhecimento, impulsionou a indústria, desenvolveu a agricultura, a comunicação, o transporte, a ciência e a tecnologia. Diferentes culturas do mundo antigo referem-se à participação social proeminente dos veterinários e à sua importância para a saúde e o bem-estar da comunidade.</w:t>
      </w:r>
    </w:p>
    <w:p w14:paraId="423497B0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Desde a antiguidade, algumas das doenças, entre elas a raiva, foram identificadas como de interesse para a comunidade; na Babilónia, o código </w:t>
      </w:r>
      <w:proofErr w:type="spellStart"/>
      <w:r w:rsidRPr="00BA373D">
        <w:rPr>
          <w:rFonts w:ascii="Times New Roman" w:hAnsi="Times New Roman" w:cs="Times New Roman"/>
        </w:rPr>
        <w:t>Eshunna</w:t>
      </w:r>
      <w:proofErr w:type="spellEnd"/>
      <w:r w:rsidRPr="00BA373D">
        <w:rPr>
          <w:rFonts w:ascii="Times New Roman" w:hAnsi="Times New Roman" w:cs="Times New Roman"/>
        </w:rPr>
        <w:t xml:space="preserve"> (2300 a.C.), destaca os cuidados que se devem ter para evitar que um cão doente morda os vizinhos e que se morder alguém e a pessoa morrer, o proprietário deverá pagar uma alta indemnização ou multa. Na Mesopotâmia (1700 a.C.), o Código de Hamurabi, indica vários aspetos da prática médica, honorários e punições dos médicos, detalhados nos artigos 224 e 225 com os procedimentos para o tratamento de doenças de animais, os honorários que eles devem receber pelo seu trabalho, e a respetiva punição quando falhem (Reyes et al, 2006).</w:t>
      </w:r>
    </w:p>
    <w:p w14:paraId="76AC1E11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O papiro </w:t>
      </w:r>
      <w:proofErr w:type="spellStart"/>
      <w:r w:rsidRPr="00BA373D">
        <w:rPr>
          <w:rFonts w:ascii="Times New Roman" w:hAnsi="Times New Roman" w:cs="Times New Roman"/>
        </w:rPr>
        <w:t>Kahun</w:t>
      </w:r>
      <w:proofErr w:type="spellEnd"/>
      <w:r w:rsidRPr="00BA373D">
        <w:rPr>
          <w:rFonts w:ascii="Times New Roman" w:hAnsi="Times New Roman" w:cs="Times New Roman"/>
        </w:rPr>
        <w:t>, o mais antigo documento escrito encontrado em 1890 sobre a prática veterinária e que faz parte da cultura egípcia (1800 a.c.) descreve os factos relacionados com a arte da cura dos animais, indicando os procedimentos de diagnóstico, prognóstico, sintomas e tratamento de doenças em bovinos, canídeos, peixes e aves. Durante este período, o embalsamento permitiu o desenvolvimento de conhecimentos em anatomia comparada (</w:t>
      </w:r>
      <w:proofErr w:type="spellStart"/>
      <w:r w:rsidRPr="00BA373D">
        <w:rPr>
          <w:rFonts w:ascii="Times New Roman" w:hAnsi="Times New Roman" w:cs="Times New Roman"/>
        </w:rPr>
        <w:t>Schwabe</w:t>
      </w:r>
      <w:proofErr w:type="spellEnd"/>
      <w:r w:rsidRPr="00BA373D">
        <w:rPr>
          <w:rFonts w:ascii="Times New Roman" w:hAnsi="Times New Roman" w:cs="Times New Roman"/>
        </w:rPr>
        <w:t>, 1984).</w:t>
      </w:r>
    </w:p>
    <w:p w14:paraId="440A57EE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As práticas relacionadas com a proteção dos alimentos e a prevenção de zoonoses também vêm de longe. As sagradas escrituras constituem uma referência a tais práticas. “Os animais que podem servir para a alimentação são os que têm o casco fendido e que ruminam. Quer isto dizer que os seguintes animais não devem ser ingeridos: o camelo que rumina mas não tem o casco fendido; o coelho (ou o texugo) que rumina mas não tem casco fendido; a lebre que também rumina mas não tem casco fendido; o porco que ainda que tenha o casco fendido não rumina.</w:t>
      </w:r>
    </w:p>
    <w:p w14:paraId="5BDC12B6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Não deverão comer a sua carne nem sequer tocar nos seus cadáveres. É alimento que vos é proibido... No que se refere às aves, são as seguintes as que não devem comer: a águia, o abutre. Mas tudo o mais que voe e que tenha quatro patas é proibido. ... Nenhum inseto que voe, que tenha quatro patas, deverão comer; com exceção de todos os que saltam...” (Levítico).</w:t>
      </w:r>
    </w:p>
    <w:p w14:paraId="24C6B460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Nestes textos, atribui-se à carne de certos animais ligações com doenças humanas, de modo que os rituais estabelecidos para o abate desses animais, favoreciam a conservação da carne e a </w:t>
      </w:r>
      <w:r w:rsidRPr="00BA373D">
        <w:rPr>
          <w:rFonts w:ascii="Times New Roman" w:hAnsi="Times New Roman" w:cs="Times New Roman"/>
        </w:rPr>
        <w:lastRenderedPageBreak/>
        <w:t>inspeção meticulosa do estado sanitário das vísceras e da carne, para aprovar o seu consumo sem afetar o consumidor. Indiscutivelmente, esta foi uma das primeiras práticas veterinárias em saúde pública.</w:t>
      </w:r>
    </w:p>
    <w:p w14:paraId="76027BB2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Veterinário é um termo que nasceu no primeiro século da nossa era, na obra: Res Rustica (Os trabalhos do campo) de </w:t>
      </w:r>
      <w:proofErr w:type="spellStart"/>
      <w:r w:rsidRPr="00BA373D">
        <w:rPr>
          <w:rFonts w:ascii="Times New Roman" w:hAnsi="Times New Roman" w:cs="Times New Roman"/>
        </w:rPr>
        <w:t>Lucius</w:t>
      </w:r>
      <w:proofErr w:type="spellEnd"/>
      <w:r w:rsidRPr="00BA373D">
        <w:rPr>
          <w:rFonts w:ascii="Times New Roman" w:hAnsi="Times New Roman" w:cs="Times New Roman"/>
        </w:rPr>
        <w:t xml:space="preserve"> </w:t>
      </w:r>
      <w:proofErr w:type="spellStart"/>
      <w:r w:rsidRPr="00BA373D">
        <w:rPr>
          <w:rFonts w:ascii="Times New Roman" w:hAnsi="Times New Roman" w:cs="Times New Roman"/>
        </w:rPr>
        <w:t>Junius</w:t>
      </w:r>
      <w:proofErr w:type="spellEnd"/>
      <w:r w:rsidRPr="00BA373D">
        <w:rPr>
          <w:rFonts w:ascii="Times New Roman" w:hAnsi="Times New Roman" w:cs="Times New Roman"/>
        </w:rPr>
        <w:t xml:space="preserve"> </w:t>
      </w:r>
      <w:proofErr w:type="spellStart"/>
      <w:r w:rsidRPr="00BA373D">
        <w:rPr>
          <w:rFonts w:ascii="Times New Roman" w:hAnsi="Times New Roman" w:cs="Times New Roman"/>
        </w:rPr>
        <w:t>Moderatus</w:t>
      </w:r>
      <w:proofErr w:type="spellEnd"/>
      <w:r w:rsidRPr="00BA373D">
        <w:rPr>
          <w:rFonts w:ascii="Times New Roman" w:hAnsi="Times New Roman" w:cs="Times New Roman"/>
        </w:rPr>
        <w:t xml:space="preserve"> Columela. A ciência veterinária desde as suas origens e ao longo do seu desenvolvimento apresenta vários aspetos históricos, onde convergem os interesses comuns sob o ponto de vista do conhecimento médico, a saúde das populações animais e o seu impacto sobre as comunidades humanas e o meio ambiente.</w:t>
      </w:r>
    </w:p>
    <w:p w14:paraId="58505E0A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Desde o seu início, o conhecimento médico e veterinário estiveram intimamente relacionados com a figura mitológica do centauro </w:t>
      </w:r>
      <w:proofErr w:type="spellStart"/>
      <w:r w:rsidRPr="00BA373D">
        <w:rPr>
          <w:rFonts w:ascii="Times New Roman" w:hAnsi="Times New Roman" w:cs="Times New Roman"/>
        </w:rPr>
        <w:t>Quíron</w:t>
      </w:r>
      <w:proofErr w:type="spellEnd"/>
      <w:r w:rsidRPr="00BA373D">
        <w:rPr>
          <w:rFonts w:ascii="Times New Roman" w:hAnsi="Times New Roman" w:cs="Times New Roman"/>
        </w:rPr>
        <w:t xml:space="preserve">, metade homem e metade animal, ser justo e hospitaleiro, educador de heróis, médicos e cirurgiões. </w:t>
      </w:r>
      <w:proofErr w:type="spellStart"/>
      <w:r w:rsidRPr="00BA373D">
        <w:rPr>
          <w:rFonts w:ascii="Times New Roman" w:hAnsi="Times New Roman" w:cs="Times New Roman"/>
        </w:rPr>
        <w:t>Quiron</w:t>
      </w:r>
      <w:proofErr w:type="spellEnd"/>
      <w:r w:rsidRPr="00BA373D">
        <w:rPr>
          <w:rFonts w:ascii="Times New Roman" w:hAnsi="Times New Roman" w:cs="Times New Roman"/>
        </w:rPr>
        <w:t xml:space="preserve"> representa o lendário fundador de veterinária. Ele foi o mentor e o pai adotivo de Esculápio, deus da arte de curar, o pai de </w:t>
      </w:r>
      <w:proofErr w:type="spellStart"/>
      <w:r w:rsidRPr="00BA373D">
        <w:rPr>
          <w:rFonts w:ascii="Times New Roman" w:hAnsi="Times New Roman" w:cs="Times New Roman"/>
        </w:rPr>
        <w:t>Hygeia</w:t>
      </w:r>
      <w:proofErr w:type="spellEnd"/>
      <w:r w:rsidRPr="00BA373D">
        <w:rPr>
          <w:rFonts w:ascii="Times New Roman" w:hAnsi="Times New Roman" w:cs="Times New Roman"/>
        </w:rPr>
        <w:t xml:space="preserve">, a deusa da saúde a partir da qual deriva o termo higiene. Em </w:t>
      </w:r>
      <w:proofErr w:type="spellStart"/>
      <w:r w:rsidRPr="00BA373D">
        <w:rPr>
          <w:rFonts w:ascii="Times New Roman" w:hAnsi="Times New Roman" w:cs="Times New Roman"/>
        </w:rPr>
        <w:t>Quíron</w:t>
      </w:r>
      <w:proofErr w:type="spellEnd"/>
      <w:r w:rsidRPr="00BA373D">
        <w:rPr>
          <w:rFonts w:ascii="Times New Roman" w:hAnsi="Times New Roman" w:cs="Times New Roman"/>
        </w:rPr>
        <w:t xml:space="preserve"> reflete-se o conhecimento médico, o conhecimento veterinário, a saúde comunitária, mas também a vocação docente. Representar a origem mítica da profissão com </w:t>
      </w:r>
      <w:proofErr w:type="spellStart"/>
      <w:r w:rsidRPr="00BA373D">
        <w:rPr>
          <w:rFonts w:ascii="Times New Roman" w:hAnsi="Times New Roman" w:cs="Times New Roman"/>
        </w:rPr>
        <w:t>Quíron</w:t>
      </w:r>
      <w:proofErr w:type="spellEnd"/>
      <w:r w:rsidRPr="00BA373D">
        <w:rPr>
          <w:rFonts w:ascii="Times New Roman" w:hAnsi="Times New Roman" w:cs="Times New Roman"/>
        </w:rPr>
        <w:t xml:space="preserve"> como lendário fundador, assinala dois elementos importantes: o ensino da arte de curar e a transferência de conhecimento com uma projeção na saúde comunitária. Não é por coincidência, que também desde a lenda, o veterinário é identificado com as contribuições para a clínica individual e a saúde coletiva; o caduceu ou bastão de Esculápio é o símbolo mundial da profissão médica e veterinária.</w:t>
      </w:r>
    </w:p>
    <w:p w14:paraId="1E348192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No seu início, a educação veterinária foi muito influenciada pelo pensamento Iluminista do século XVIII e através da já referida raízes científicas, baseadas fundamentalmente a experiência acumulada dos séculos anteriores, que foram dedicados ao cuidado dos animais. O primeiro centro francês recuperou o termo "veterinária", usado pela primeira vez por Columela (</w:t>
      </w:r>
      <w:proofErr w:type="spellStart"/>
      <w:r w:rsidRPr="00BA373D">
        <w:rPr>
          <w:rFonts w:ascii="Times New Roman" w:hAnsi="Times New Roman" w:cs="Times New Roman"/>
        </w:rPr>
        <w:t>Lucius</w:t>
      </w:r>
      <w:proofErr w:type="spellEnd"/>
      <w:r w:rsidRPr="00BA373D">
        <w:rPr>
          <w:rFonts w:ascii="Times New Roman" w:hAnsi="Times New Roman" w:cs="Times New Roman"/>
        </w:rPr>
        <w:t xml:space="preserve"> Julius </w:t>
      </w:r>
      <w:proofErr w:type="spellStart"/>
      <w:r w:rsidRPr="00BA373D">
        <w:rPr>
          <w:rFonts w:ascii="Times New Roman" w:hAnsi="Times New Roman" w:cs="Times New Roman"/>
        </w:rPr>
        <w:t>Moderatus</w:t>
      </w:r>
      <w:proofErr w:type="spellEnd"/>
      <w:r w:rsidRPr="00BA373D">
        <w:rPr>
          <w:rFonts w:ascii="Times New Roman" w:hAnsi="Times New Roman" w:cs="Times New Roman"/>
        </w:rPr>
        <w:t>), na sua obra Res Rustica, durante o primeiro século (</w:t>
      </w:r>
      <w:proofErr w:type="spellStart"/>
      <w:r w:rsidRPr="00BA373D">
        <w:rPr>
          <w:rFonts w:ascii="Times New Roman" w:hAnsi="Times New Roman" w:cs="Times New Roman"/>
        </w:rPr>
        <w:t>d.c.</w:t>
      </w:r>
      <w:proofErr w:type="spellEnd"/>
      <w:r w:rsidRPr="00BA373D">
        <w:rPr>
          <w:rFonts w:ascii="Times New Roman" w:hAnsi="Times New Roman" w:cs="Times New Roman"/>
        </w:rPr>
        <w:t>), que tinha caído em desuso durante a Idade Média.</w:t>
      </w:r>
    </w:p>
    <w:p w14:paraId="5F5B9302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As doenças do gado bovino apresentaram-se com excecional intensidade nos séculos XVII e XVIII. Em 1609 a peste bovina espalhou-se para todos os países da Europa Central.</w:t>
      </w:r>
    </w:p>
    <w:p w14:paraId="57238CD1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A primeira escola veterinária foi fundada em Lyon, em fevereiro de 1761, durante o reinado de Luís XV. A segunda foi a de </w:t>
      </w:r>
      <w:proofErr w:type="spellStart"/>
      <w:r w:rsidRPr="00BA373D">
        <w:rPr>
          <w:rFonts w:ascii="Times New Roman" w:hAnsi="Times New Roman" w:cs="Times New Roman"/>
        </w:rPr>
        <w:t>Alfort</w:t>
      </w:r>
      <w:proofErr w:type="spellEnd"/>
      <w:r w:rsidRPr="00BA373D">
        <w:rPr>
          <w:rFonts w:ascii="Times New Roman" w:hAnsi="Times New Roman" w:cs="Times New Roman"/>
        </w:rPr>
        <w:t xml:space="preserve">, fundada em outubro de 1766. Claude </w:t>
      </w:r>
      <w:proofErr w:type="spellStart"/>
      <w:r w:rsidRPr="00BA373D">
        <w:rPr>
          <w:rFonts w:ascii="Times New Roman" w:hAnsi="Times New Roman" w:cs="Times New Roman"/>
        </w:rPr>
        <w:t>Bourgelat</w:t>
      </w:r>
      <w:proofErr w:type="spellEnd"/>
      <w:r w:rsidRPr="00BA373D">
        <w:rPr>
          <w:rFonts w:ascii="Times New Roman" w:hAnsi="Times New Roman" w:cs="Times New Roman"/>
        </w:rPr>
        <w:t>, fundador da escola de Lyon, participou assiduamente em atividades científicas que se realizavam em França na segunda metade do século XVIII.</w:t>
      </w:r>
    </w:p>
    <w:p w14:paraId="09DE06A5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As publicações "Nouveau </w:t>
      </w:r>
      <w:proofErr w:type="spellStart"/>
      <w:r w:rsidRPr="00BA373D">
        <w:rPr>
          <w:rFonts w:ascii="Times New Roman" w:hAnsi="Times New Roman" w:cs="Times New Roman"/>
        </w:rPr>
        <w:t>Traité</w:t>
      </w:r>
      <w:proofErr w:type="spellEnd"/>
      <w:r w:rsidRPr="00BA373D">
        <w:rPr>
          <w:rFonts w:ascii="Times New Roman" w:hAnsi="Times New Roman" w:cs="Times New Roman"/>
        </w:rPr>
        <w:t xml:space="preserve"> de </w:t>
      </w:r>
      <w:proofErr w:type="spellStart"/>
      <w:r w:rsidRPr="00BA373D">
        <w:rPr>
          <w:rFonts w:ascii="Times New Roman" w:hAnsi="Times New Roman" w:cs="Times New Roman"/>
        </w:rPr>
        <w:t>Cavalerie</w:t>
      </w:r>
      <w:proofErr w:type="spellEnd"/>
      <w:r w:rsidRPr="00BA373D">
        <w:rPr>
          <w:rFonts w:ascii="Times New Roman" w:hAnsi="Times New Roman" w:cs="Times New Roman"/>
        </w:rPr>
        <w:t>" e "</w:t>
      </w:r>
      <w:proofErr w:type="spellStart"/>
      <w:r w:rsidRPr="00BA373D">
        <w:rPr>
          <w:rFonts w:ascii="Times New Roman" w:hAnsi="Times New Roman" w:cs="Times New Roman"/>
        </w:rPr>
        <w:t>Éléments</w:t>
      </w:r>
      <w:proofErr w:type="spellEnd"/>
      <w:r w:rsidRPr="00BA373D">
        <w:rPr>
          <w:rFonts w:ascii="Times New Roman" w:hAnsi="Times New Roman" w:cs="Times New Roman"/>
        </w:rPr>
        <w:t xml:space="preserve"> d'</w:t>
      </w:r>
      <w:proofErr w:type="spellStart"/>
      <w:r w:rsidRPr="00BA373D">
        <w:rPr>
          <w:rFonts w:ascii="Times New Roman" w:hAnsi="Times New Roman" w:cs="Times New Roman"/>
        </w:rPr>
        <w:t>hippiatrique</w:t>
      </w:r>
      <w:proofErr w:type="spellEnd"/>
      <w:r w:rsidRPr="00BA373D">
        <w:rPr>
          <w:rFonts w:ascii="Times New Roman" w:hAnsi="Times New Roman" w:cs="Times New Roman"/>
        </w:rPr>
        <w:t>" fizeram dele um dos principais autores do seu tempo, destacando-se pela metodologia científica, adquirida através do seu trabalho e cooperação com os cirurgiões de Lyon, com quem estudou a anatomia equina.</w:t>
      </w:r>
    </w:p>
    <w:p w14:paraId="25B19DD1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Em 1761 em França, Luís XV promoveu a prevenção das doenças do gado, proteção de pastagens e formação de agricultores. Realizar esta reforma agrária implicou, entre outras coisas, criar uma outra escola veterinária em Lyon e nomear </w:t>
      </w:r>
      <w:proofErr w:type="spellStart"/>
      <w:r w:rsidRPr="00BA373D">
        <w:rPr>
          <w:rFonts w:ascii="Times New Roman" w:hAnsi="Times New Roman" w:cs="Times New Roman"/>
        </w:rPr>
        <w:t>Bourgelat</w:t>
      </w:r>
      <w:proofErr w:type="spellEnd"/>
      <w:r w:rsidRPr="00BA373D">
        <w:rPr>
          <w:rFonts w:ascii="Times New Roman" w:hAnsi="Times New Roman" w:cs="Times New Roman"/>
        </w:rPr>
        <w:t xml:space="preserve"> como o diretor </w:t>
      </w:r>
      <w:proofErr w:type="gramStart"/>
      <w:r w:rsidRPr="00BA373D">
        <w:rPr>
          <w:rFonts w:ascii="Times New Roman" w:hAnsi="Times New Roman" w:cs="Times New Roman"/>
        </w:rPr>
        <w:t>da mesma</w:t>
      </w:r>
      <w:proofErr w:type="gramEnd"/>
      <w:r w:rsidRPr="00BA373D">
        <w:rPr>
          <w:rFonts w:ascii="Times New Roman" w:hAnsi="Times New Roman" w:cs="Times New Roman"/>
        </w:rPr>
        <w:t xml:space="preserve">. Dois anos depois, um decreto real nomeava </w:t>
      </w:r>
      <w:proofErr w:type="spellStart"/>
      <w:r w:rsidRPr="00BA373D">
        <w:rPr>
          <w:rFonts w:ascii="Times New Roman" w:hAnsi="Times New Roman" w:cs="Times New Roman"/>
        </w:rPr>
        <w:t>Bourgelat</w:t>
      </w:r>
      <w:proofErr w:type="spellEnd"/>
      <w:r w:rsidRPr="00BA373D">
        <w:rPr>
          <w:rFonts w:ascii="Times New Roman" w:hAnsi="Times New Roman" w:cs="Times New Roman"/>
        </w:rPr>
        <w:t xml:space="preserve"> como "Diretor e Inspetor Geral da Escola Veterinária de Lyon e de todas as escolas veterinárias criadas no reino" e mais tarde como "Comissário Geral das cavalariças do Reino".</w:t>
      </w:r>
    </w:p>
    <w:p w14:paraId="2A002568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Os fundadores das escolas veterinárias da Europa foram formados em Lyon e em </w:t>
      </w:r>
      <w:proofErr w:type="spellStart"/>
      <w:r w:rsidRPr="00BA373D">
        <w:rPr>
          <w:rFonts w:ascii="Times New Roman" w:hAnsi="Times New Roman" w:cs="Times New Roman"/>
        </w:rPr>
        <w:t>Alfort</w:t>
      </w:r>
      <w:proofErr w:type="spellEnd"/>
      <w:r w:rsidRPr="00BA373D">
        <w:rPr>
          <w:rFonts w:ascii="Times New Roman" w:hAnsi="Times New Roman" w:cs="Times New Roman"/>
        </w:rPr>
        <w:t xml:space="preserve"> nos finais do século XVIII. Alguns eram franceses que deixaram o país depois da sua formação e outros </w:t>
      </w:r>
      <w:r w:rsidRPr="00BA373D">
        <w:rPr>
          <w:rFonts w:ascii="Times New Roman" w:hAnsi="Times New Roman" w:cs="Times New Roman"/>
        </w:rPr>
        <w:lastRenderedPageBreak/>
        <w:t>eram estrangeiros que foram enviados para França pelos governos dos seus países para aprender os princípios fundamentais da nova arte da medicina veterinária.</w:t>
      </w:r>
    </w:p>
    <w:p w14:paraId="62A7CF63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Duas frases extraídas do livro "Regulamentos para as Escolas Veterinárias Reais" (publicado em 1777, dois anos antes de sua morte), o seu "testamento filosófico", assinala a sua contribuição:</w:t>
      </w:r>
    </w:p>
    <w:p w14:paraId="5ACBE32D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“As portas das nossas escolas estão abertas a todos aqueles cuja missão é garantir a preservação da humanidade e que adquiriram, através do renome que alcançaram, o direito de frequentá-los para estudar a natureza, procurar analogias e verificar ideias cuja confirmação pode ser útil para a espécie humana.”</w:t>
      </w:r>
    </w:p>
    <w:p w14:paraId="5AD729DC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Os problemas comuns aos seres humanos e animais e a preocupação com a segurança alimentar eram evidentes já no século XVII, quando foi aceite que a saúde dos animais influencia a saúde humana e o meio ambiente; na Alemanha, Ludwig von </w:t>
      </w:r>
      <w:proofErr w:type="spellStart"/>
      <w:r w:rsidRPr="00BA373D">
        <w:rPr>
          <w:rFonts w:ascii="Times New Roman" w:hAnsi="Times New Roman" w:cs="Times New Roman"/>
        </w:rPr>
        <w:t>Seckendorf</w:t>
      </w:r>
      <w:proofErr w:type="spellEnd"/>
      <w:r w:rsidRPr="00BA373D">
        <w:rPr>
          <w:rFonts w:ascii="Times New Roman" w:hAnsi="Times New Roman" w:cs="Times New Roman"/>
        </w:rPr>
        <w:t xml:space="preserve"> formulou um programa sanitário estatal, em que se estabelecia a inspeção de alimentos e outras medidas para proteger a população de doenças infeciosas.</w:t>
      </w:r>
    </w:p>
    <w:p w14:paraId="0B6DC813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Entre 1779 e 1817, o alemão Johan Peter Frank, publicou uma série de trabalhos sobre saúde pública que abordavam temas como doenças de animais e consumo de carne. Em 1848, foram estabelecidos em cada município os Conselhos de Saúde e foram contratados os primeiros veterinários por um período de quatro anos.</w:t>
      </w:r>
      <w:r w:rsidRPr="00BA373D">
        <w:rPr>
          <w:rFonts w:ascii="Times New Roman" w:hAnsi="Times New Roman" w:cs="Times New Roman"/>
        </w:rPr>
        <w:cr/>
      </w:r>
    </w:p>
    <w:p w14:paraId="0DA12AA4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373D">
        <w:rPr>
          <w:rFonts w:ascii="Times New Roman" w:hAnsi="Times New Roman" w:cs="Times New Roman"/>
          <w:b/>
          <w:u w:val="single"/>
        </w:rPr>
        <w:t>COMO SE DEFINE SAÚDE PÚBLICA VETERINÁRIA</w:t>
      </w:r>
    </w:p>
    <w:p w14:paraId="7AED8FB8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Entende-se por saúde pública como a “atividade que visa melhorar a saúde das populações”. Segundo a definição da OMS (1978), </w:t>
      </w:r>
      <w:proofErr w:type="gramStart"/>
      <w:r w:rsidRPr="00BA373D">
        <w:rPr>
          <w:rFonts w:ascii="Times New Roman" w:hAnsi="Times New Roman" w:cs="Times New Roman"/>
        </w:rPr>
        <w:t>a mesma</w:t>
      </w:r>
      <w:proofErr w:type="gramEnd"/>
      <w:r w:rsidRPr="00BA373D">
        <w:rPr>
          <w:rFonts w:ascii="Times New Roman" w:hAnsi="Times New Roman" w:cs="Times New Roman"/>
        </w:rPr>
        <w:t xml:space="preserve"> consiste em "todas as atividades relacionadas com a saúde e doença de uma população, o estado sanitário e ecológico do meio ambiente, a organização e o funcionamento dos serviços de saúde e da doença, a planificação e gestão dos mesmos e a educação para a saúde”. As suas atividades devem traduzir-se no aumento de esperança de vida do homem através da promoção da saúde, da prevenção e do controlo de doenças, a melhoria na produção e sanidade de alimentos e a proteção do meio ambiente (OMS, 1981, 2002).</w:t>
      </w:r>
    </w:p>
    <w:p w14:paraId="06AF8440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Do ponto de vista das ciências veterinárias, a SPV refere-se às "áreas de Saúde Pública, nas quais a medicina veterinária tem um interesse especial (</w:t>
      </w:r>
      <w:proofErr w:type="spellStart"/>
      <w:r w:rsidRPr="00BA373D">
        <w:rPr>
          <w:rFonts w:ascii="Times New Roman" w:hAnsi="Times New Roman" w:cs="Times New Roman"/>
        </w:rPr>
        <w:t>Schwabe</w:t>
      </w:r>
      <w:proofErr w:type="spellEnd"/>
      <w:r w:rsidRPr="00BA373D">
        <w:rPr>
          <w:rFonts w:ascii="Times New Roman" w:hAnsi="Times New Roman" w:cs="Times New Roman"/>
        </w:rPr>
        <w:t>, 1984)" e, portanto, o veterinário trabalha em atividades em que o seu conhecimento pode contribuir diretamente para a solução de problemas de saúde e doenças da espécie humana (OMS / WHO, 2002).</w:t>
      </w:r>
    </w:p>
    <w:p w14:paraId="16714F36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 Reunião Interamericana a Nível Ministerial, em Saúde e Agricultura, RIMSA, de 2001 propôs que "a SPV é um componente das atividades de saúde pública, dedicada à aplicação de conhecimentos, habilidades e competências ou aptidões de medicina veterinária para a promoção e proteção da saúde humana". Neste sentido, é uma disciplina com um amplo campo de ação, que visa alcançar estes objetivos através de intervenções em saúde e produção animal (OPAS, 2001).</w:t>
      </w:r>
    </w:p>
    <w:p w14:paraId="13F89ACB" w14:textId="77777777" w:rsidR="00B13086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</w:p>
    <w:p w14:paraId="43571EDC" w14:textId="77777777" w:rsidR="00B13086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</w:p>
    <w:p w14:paraId="0047B1D9" w14:textId="77777777" w:rsidR="00B13086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</w:p>
    <w:p w14:paraId="597E6FBA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</w:p>
    <w:p w14:paraId="62911E9E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</w:p>
    <w:p w14:paraId="745078C6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373D">
        <w:rPr>
          <w:rFonts w:ascii="Times New Roman" w:hAnsi="Times New Roman" w:cs="Times New Roman"/>
          <w:b/>
          <w:u w:val="single"/>
        </w:rPr>
        <w:lastRenderedPageBreak/>
        <w:t>CAMPOS DE AÇÃO DA SAÚDE PÚBLICA VETERINÁRIA (SPV)</w:t>
      </w:r>
    </w:p>
    <w:p w14:paraId="4E363AEA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  <w:i/>
        </w:rPr>
        <w:t>“O objetivo final da medicina veterinária não reside nas espécies animais, que é o que o veterinário geralmente faz. A sua principal finalidade reside definitivamente no homem, e em toda a humanidade".</w:t>
      </w:r>
      <w:r w:rsidRPr="00BA373D">
        <w:rPr>
          <w:rFonts w:ascii="Times New Roman" w:hAnsi="Times New Roman" w:cs="Times New Roman"/>
        </w:rPr>
        <w:t xml:space="preserve"> Martinez </w:t>
      </w:r>
      <w:proofErr w:type="spellStart"/>
      <w:r w:rsidRPr="00BA373D">
        <w:rPr>
          <w:rFonts w:ascii="Times New Roman" w:hAnsi="Times New Roman" w:cs="Times New Roman"/>
        </w:rPr>
        <w:t>Baez</w:t>
      </w:r>
      <w:proofErr w:type="spellEnd"/>
      <w:r w:rsidRPr="00BA373D">
        <w:rPr>
          <w:rFonts w:ascii="Times New Roman" w:hAnsi="Times New Roman" w:cs="Times New Roman"/>
        </w:rPr>
        <w:t xml:space="preserve"> citando </w:t>
      </w:r>
      <w:proofErr w:type="spellStart"/>
      <w:r w:rsidRPr="00BA373D">
        <w:rPr>
          <w:rFonts w:ascii="Times New Roman" w:hAnsi="Times New Roman" w:cs="Times New Roman"/>
        </w:rPr>
        <w:t>Schwabe</w:t>
      </w:r>
      <w:proofErr w:type="spellEnd"/>
      <w:r w:rsidRPr="00BA373D">
        <w:rPr>
          <w:rFonts w:ascii="Times New Roman" w:hAnsi="Times New Roman" w:cs="Times New Roman"/>
        </w:rPr>
        <w:t xml:space="preserve">, 1986 </w:t>
      </w:r>
    </w:p>
    <w:p w14:paraId="117F0DEF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Após vários anos de estudo da SPV, no projeto Alfa da União Europeia SAPUVETNET II, Ortega et al, (2005), apresentaram as seguintes considerações relacionadas com as suas atividades e intervenções:</w:t>
      </w:r>
    </w:p>
    <w:p w14:paraId="52464504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 SPV tem um amplo campo de ação com diferentes objetivos:</w:t>
      </w:r>
    </w:p>
    <w:p w14:paraId="6CD29752" w14:textId="77777777" w:rsidR="00B13086" w:rsidRPr="00BA373D" w:rsidRDefault="00B13086" w:rsidP="00B1308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a. Detecção e compreensão de um processo adverso que surja (vigilância</w:t>
      </w:r>
    </w:p>
    <w:p w14:paraId="66042211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epidemiológica) e que é necessário controlar ou eliminar.</w:t>
      </w:r>
    </w:p>
    <w:p w14:paraId="479BDAFD" w14:textId="77777777" w:rsidR="00B13086" w:rsidRPr="00BA373D" w:rsidRDefault="00B13086" w:rsidP="00B1308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b. Identificação de situações de risco potencial (análise de risco) e a sua gestão de modo a evitar a sua ocorrência ou para minimizar os seus efeitos, tanto do ponto de vista sanitário como económico.</w:t>
      </w:r>
    </w:p>
    <w:p w14:paraId="412CFC91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 intervenção veterinária na proteção da saúde da comunidade concentra-se em três situações:</w:t>
      </w:r>
    </w:p>
    <w:p w14:paraId="75E22CA6" w14:textId="77777777" w:rsidR="00B13086" w:rsidRPr="00BA373D" w:rsidRDefault="00B13086" w:rsidP="00B1308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c. Processos "epidémicos", tanto de "zoonoses", doenças ou infeções que se transmite de forma natural de animais para seres humanos ou vice-versa (Toma et al, 1991, </w:t>
      </w:r>
      <w:proofErr w:type="spellStart"/>
      <w:r w:rsidRPr="00BA373D">
        <w:rPr>
          <w:rFonts w:ascii="Times New Roman" w:hAnsi="Times New Roman" w:cs="Times New Roman"/>
        </w:rPr>
        <w:t>Thrusfield</w:t>
      </w:r>
      <w:proofErr w:type="spellEnd"/>
      <w:r w:rsidRPr="00BA373D">
        <w:rPr>
          <w:rFonts w:ascii="Times New Roman" w:hAnsi="Times New Roman" w:cs="Times New Roman"/>
        </w:rPr>
        <w:t xml:space="preserve">, 1997; Acha e </w:t>
      </w:r>
      <w:proofErr w:type="spellStart"/>
      <w:r w:rsidRPr="00BA373D">
        <w:rPr>
          <w:rFonts w:ascii="Times New Roman" w:hAnsi="Times New Roman" w:cs="Times New Roman"/>
        </w:rPr>
        <w:t>Szifres</w:t>
      </w:r>
      <w:proofErr w:type="spellEnd"/>
      <w:r w:rsidRPr="00BA373D">
        <w:rPr>
          <w:rFonts w:ascii="Times New Roman" w:hAnsi="Times New Roman" w:cs="Times New Roman"/>
        </w:rPr>
        <w:t>, 2001), como de "não zoonoses" doenças de animais que, apesar de não serem transmitidas ao homem, têm um impacto negativo sobre a economia por provocarem perdas significativas de produção e a redução da disponibilidade alimentar das populações humanas, ou alterar o ecossistema.</w:t>
      </w:r>
    </w:p>
    <w:p w14:paraId="00D7E4AE" w14:textId="77777777" w:rsidR="00B13086" w:rsidRPr="00BA373D" w:rsidRDefault="00B13086" w:rsidP="00B1308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d. Processos "não-epidémicos", em que apesar da inexistência de uma doença animal, provocam a morte ou o desaparecimento da população animal numa área, causando problemas para a subsistência humana ou para o meio ambiente. Trata-se de "catástrofes" de origem "natural", como é o caso de terremotos, erupções vulcânicas, inundações e secas, ou de catástrofes "induzidas pelo homem", como é o caso de guerras, fugas de produtos químicos e radioativos, derrames tóxicos ou algumas formas de bioterrorismo.</w:t>
      </w:r>
    </w:p>
    <w:p w14:paraId="756C8ACD" w14:textId="77777777" w:rsidR="00B13086" w:rsidRPr="00BA373D" w:rsidRDefault="00B13086" w:rsidP="00B1308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e. "Consequência da produção animal". Atividades relacionadas com a gestão e o tratamento de animais que podem afetar os consumidores. A resistência aos antibióticos, causada pela utilização inadequada de antibióticos na produção animal (usado em muitos casos como promotores de crescimento), e por outro lado, o "bem-estar animal" de que depende em grande medida a qualidade da produção destinada ao consumo humano são situações relevantes na sociedade atual.</w:t>
      </w:r>
    </w:p>
    <w:p w14:paraId="6015BF07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</w:p>
    <w:p w14:paraId="3D4E4BC8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373D">
        <w:rPr>
          <w:rFonts w:ascii="Times New Roman" w:hAnsi="Times New Roman" w:cs="Times New Roman"/>
          <w:b/>
          <w:u w:val="single"/>
        </w:rPr>
        <w:t>1.2 – PREMISSAS</w:t>
      </w:r>
    </w:p>
    <w:p w14:paraId="7FBE0222" w14:textId="77777777" w:rsidR="00B13086" w:rsidRPr="00BA373D" w:rsidRDefault="00B13086" w:rsidP="00B1308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 atividade de promoção de serviços de saúde animal, é uma atividade tradicional, que tem merecido a atenção de governos e veterinários em todo o mundo. Numa população, a saúde animal é alcançada através da adoção e adaptação de avanços tecnológicos disponíveis, relacionados com a prevenção e o controlo das doenças dos animais com importância econômica e zoonótica, com o melhoramento genético, a disponibilidade de forragem e a gestão ambiental.</w:t>
      </w:r>
    </w:p>
    <w:p w14:paraId="3764C152" w14:textId="77777777" w:rsidR="00B13086" w:rsidRPr="00BA373D" w:rsidRDefault="00B13086" w:rsidP="00B1308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lastRenderedPageBreak/>
        <w:t xml:space="preserve">A Constituição da Republica prevê, expressamente que: “todos têm direito ao meio ambiente ecologicamente equilibrado, bem de uso comum do povo e essencial à sadia qualidade de vida, impondo-se ao Poder Público e à coletividade o dever de defendê-lo e preservá-lo para as presentes e as futuras gerações” (artigo 225), dando a incumbência, entre outros, ao Poder Público, para “proteger a fauna e a flora, vedadas, na forma da lei, as práticas que coloquem em risco sua função ecológica, provoquem a extinção de espécies ou submetam os animais à crueldade (inciso VII)”. </w:t>
      </w:r>
    </w:p>
    <w:p w14:paraId="2F594114" w14:textId="77777777" w:rsidR="00B13086" w:rsidRPr="00BA373D" w:rsidRDefault="00B13086" w:rsidP="00B1308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De acordo com a Lei Federal 6.938/81, que dispõe sobre a Política Nacional do Meio Ambiente, no que se refere à proteção a fauna, destaca-se que a defesa da fauna, estende-se inclusive aos animais domésticos e domesticados. Assim fazendo parte do meio ambiente “tendo em vista o seu uso coletivo, deve ser protegido e assegurado, pois trata-se de um patrimônio público” conforme previsto em seu artigo 2º, inciso I. Ressalta, ainda, no artigo 3º, inciso V, da mesma lei, a sua inclusão, “considera como bens necessariamente integrantes do meio ambiente a atmosfera, as águas interiores, superficiais e subterrâneas, os estuários, o mar territorial, o solo, o subsolo, os elementos da biosfera, a flora e a fauna”. Da mesma forma, os artigos 5º e 6º contemplam de maneira incisiva a questão de proteção à fauna, como segue: Artigo 5º: “Cada animal pertencente a uma espécie que vive habitualmente no ambiente do homem, tem o direito de viver e crescer segundo o ritmo e as condições de vida e de liberdade que são próprias da sua espécie”; “toda modificação desse ritmo e dessas condições, imposta pelo homem para fins mercantis, é contrária a esse direito”. </w:t>
      </w:r>
    </w:p>
    <w:p w14:paraId="0E227163" w14:textId="77777777" w:rsidR="00B13086" w:rsidRPr="00BA373D" w:rsidRDefault="00B13086" w:rsidP="00B13086">
      <w:pPr>
        <w:spacing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Artigo 6º: “Cada animal que o homem escolher para seu companheiro tem o direito a uma duração de vida conforme </w:t>
      </w:r>
      <w:proofErr w:type="gramStart"/>
      <w:r w:rsidRPr="00BA37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ua</w:t>
      </w:r>
      <w:r w:rsidRPr="00BA373D">
        <w:rPr>
          <w:rFonts w:ascii="Times New Roman" w:hAnsi="Times New Roman" w:cs="Times New Roman"/>
        </w:rPr>
        <w:t xml:space="preserve"> natural</w:t>
      </w:r>
      <w:proofErr w:type="gramEnd"/>
      <w:r w:rsidRPr="00BA373D">
        <w:rPr>
          <w:rFonts w:ascii="Times New Roman" w:hAnsi="Times New Roman" w:cs="Times New Roman"/>
        </w:rPr>
        <w:t xml:space="preserve"> longevidade”; “o abandono de um animal é um ato cruel e degradante”. </w:t>
      </w:r>
    </w:p>
    <w:p w14:paraId="5A64A3A0" w14:textId="77777777" w:rsidR="00B13086" w:rsidRPr="00BA373D" w:rsidRDefault="00B13086" w:rsidP="00B1308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Desta maneira, faz-se necessário disciplinar a proteção ambiental relativa aos animais, através de um conjunto de políticas municipais de defesa e proteção aos animais, de acordo com a espécie, com conceituação clara a partir de orientação técnico-científica e em consonância com o arcabouço legal e normativo federal e estadual.</w:t>
      </w:r>
    </w:p>
    <w:p w14:paraId="61E627F6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597E55A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A373D">
        <w:rPr>
          <w:rFonts w:ascii="Times New Roman" w:hAnsi="Times New Roman" w:cs="Times New Roman"/>
          <w:b/>
          <w:bCs/>
          <w:u w:val="single"/>
        </w:rPr>
        <w:t>2- DO OBJETO</w:t>
      </w:r>
    </w:p>
    <w:p w14:paraId="3F46977F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22EA8E6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2.1: Criação de um Observatório direcionado especificamente a formulação de ações vinculadas a defesa e proteção dos animais de um modo geral, em razão do que se pode verificar em relação ao abandono e meus tratos com animais, suas causas, consequências e a existência de legislação municipal pertinente. Seu objetivo principal é a pesquisa e estudo do tema, interagindo com políticas públicas adequadas, por meio de pesquisas e estudos que venham nortear ações no município.</w:t>
      </w:r>
    </w:p>
    <w:p w14:paraId="23123727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Na sua estruturação, desenvolverá ações voltadas à implementação de uma pesquisa local, com respectivos agentes públicos e as possíveis instituições, públicas ou privadas locais, que tratem do tema;</w:t>
      </w:r>
    </w:p>
    <w:p w14:paraId="0CDAA478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AE44624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2.2: Desenvolvimento de uma ação, em parceria entre a universidade e demais instituições parceiras caso necessário, para a locação de 3 unidades tipo “Castra-Móvel”, adaptados, com as seguintes finalidades</w:t>
      </w:r>
    </w:p>
    <w:p w14:paraId="6263B5E8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6467587" w14:textId="77777777" w:rsidR="00B13086" w:rsidRPr="00BA373D" w:rsidRDefault="00B13086" w:rsidP="00B1308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Prestação do serviço de castração dos animais atendidos, com fornecimento de unidade tipo “Castra-móvel” especialmente adaptado para esta finalidade;</w:t>
      </w:r>
    </w:p>
    <w:p w14:paraId="78177343" w14:textId="77777777" w:rsidR="00B13086" w:rsidRPr="00BA373D" w:rsidRDefault="00B13086" w:rsidP="00B1308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lastRenderedPageBreak/>
        <w:t>Fornecimento de obra técnica e auxiliar necessária para o cuidado profissional de animais domésticos;</w:t>
      </w:r>
    </w:p>
    <w:p w14:paraId="36ADCC86" w14:textId="77777777" w:rsidR="00B13086" w:rsidRPr="00BA373D" w:rsidRDefault="00B13086" w:rsidP="00B1308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Prestação de serviço de manutenção completa do veículo;</w:t>
      </w:r>
    </w:p>
    <w:p w14:paraId="448BFBD5" w14:textId="77777777" w:rsidR="00B13086" w:rsidRPr="00BA373D" w:rsidRDefault="00B13086" w:rsidP="00B1308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Fornecimento de materiais, peças, mão de obra e demais itens necessários à execução das atividades relacionadas ao funcionamento, manutenção e deslocamento do veículo.</w:t>
      </w:r>
    </w:p>
    <w:p w14:paraId="4948FB56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FDEEDBC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A373D">
        <w:rPr>
          <w:rFonts w:ascii="Times New Roman" w:hAnsi="Times New Roman" w:cs="Times New Roman"/>
          <w:b/>
          <w:bCs/>
        </w:rPr>
        <w:t>2.3.</w:t>
      </w:r>
      <w:r>
        <w:rPr>
          <w:rFonts w:ascii="Times New Roman" w:hAnsi="Times New Roman" w:cs="Times New Roman"/>
          <w:b/>
          <w:bCs/>
        </w:rPr>
        <w:t xml:space="preserve"> </w:t>
      </w:r>
      <w:r w:rsidRPr="00BA373D">
        <w:rPr>
          <w:rFonts w:ascii="Times New Roman" w:hAnsi="Times New Roman" w:cs="Times New Roman"/>
          <w:b/>
          <w:bCs/>
        </w:rPr>
        <w:t>METAS</w:t>
      </w:r>
      <w:r>
        <w:rPr>
          <w:rFonts w:ascii="Times New Roman" w:hAnsi="Times New Roman" w:cs="Times New Roman"/>
          <w:b/>
          <w:bCs/>
        </w:rPr>
        <w:t xml:space="preserve"> </w:t>
      </w:r>
      <w:r w:rsidRPr="00BA373D">
        <w:rPr>
          <w:rFonts w:ascii="Times New Roman" w:hAnsi="Times New Roman" w:cs="Times New Roman"/>
          <w:b/>
          <w:bCs/>
        </w:rPr>
        <w:t>/ PRODUTOS/RESULTADOS ESPERADOS:</w:t>
      </w:r>
    </w:p>
    <w:p w14:paraId="7652F074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989"/>
        <w:gridCol w:w="2919"/>
      </w:tblGrid>
      <w:tr w:rsidR="00B13086" w:rsidRPr="00BA373D" w14:paraId="36721A48" w14:textId="77777777" w:rsidTr="00513933">
        <w:trPr>
          <w:jc w:val="center"/>
        </w:trPr>
        <w:tc>
          <w:tcPr>
            <w:tcW w:w="2586" w:type="dxa"/>
            <w:shd w:val="clear" w:color="auto" w:fill="auto"/>
            <w:vAlign w:val="center"/>
          </w:tcPr>
          <w:p w14:paraId="66DF83F4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METAS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27D6248C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PRODUTOS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D44E0D4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RESULTADOS</w:t>
            </w:r>
          </w:p>
        </w:tc>
      </w:tr>
      <w:tr w:rsidR="00B13086" w:rsidRPr="00BA373D" w14:paraId="521B6195" w14:textId="77777777" w:rsidTr="00513933">
        <w:trPr>
          <w:cantSplit/>
          <w:jc w:val="center"/>
        </w:trPr>
        <w:tc>
          <w:tcPr>
            <w:tcW w:w="2586" w:type="dxa"/>
            <w:shd w:val="clear" w:color="auto" w:fill="auto"/>
            <w:vAlign w:val="center"/>
          </w:tcPr>
          <w:p w14:paraId="5266F9E5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 Organização de observatório de políticas públicas em defesa dos animais, incluindo fóruns de discussão e seminários para formulação de ações vinculadas a defesa e proteção dos animais de um modo em geral.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538DB9CE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ind w:left="-5"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Organização do observatório de políticas públicas de defesa e proteção dos animais.</w:t>
            </w:r>
          </w:p>
          <w:p w14:paraId="7F1DF816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ind w:left="-5"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b) Coleta, análise e processamento de informações sobre o tema pesquisado.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3BC3658B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Criação de políticas públicas de defesa e proteção dos animais.</w:t>
            </w:r>
          </w:p>
        </w:tc>
      </w:tr>
      <w:tr w:rsidR="00B13086" w:rsidRPr="00BA373D" w14:paraId="4C11A486" w14:textId="77777777" w:rsidTr="00513933">
        <w:trPr>
          <w:cantSplit/>
          <w:jc w:val="center"/>
        </w:trPr>
        <w:tc>
          <w:tcPr>
            <w:tcW w:w="2586" w:type="dxa"/>
            <w:shd w:val="clear" w:color="auto" w:fill="auto"/>
            <w:vAlign w:val="center"/>
          </w:tcPr>
          <w:p w14:paraId="7F7B7408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</w:t>
            </w:r>
            <w:r w:rsidRPr="00BA373D">
              <w:rPr>
                <w:rFonts w:ascii="Times New Roman" w:hAnsi="Times New Roman" w:cs="Times New Roman"/>
              </w:rPr>
              <w:t xml:space="preserve"> Execução das atividades em unidade móvel,</w:t>
            </w:r>
            <w:r w:rsidRPr="00BA373D">
              <w:rPr>
                <w:rFonts w:ascii="Times New Roman" w:eastAsia="Times New Roman" w:hAnsi="Times New Roman" w:cs="Times New Roman"/>
                <w:lang w:eastAsia="pt-BR"/>
              </w:rPr>
              <w:t xml:space="preserve"> tipo “Castra-móvel”, especialmente adaptado para esterilização de animais domésticos a ser realizado em 3 etapas, gradativas e concomitantes;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3E1F4E1E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Locação de Unidade Móvel e licenciamento do veículo e do projeto junto aos órgãos responsáveis.</w:t>
            </w:r>
          </w:p>
          <w:p w14:paraId="5204AE70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– Primeira Etapa – 18 meses</w:t>
            </w:r>
          </w:p>
          <w:p w14:paraId="18A4DADA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 – Segunda Etapa – 12 meses</w:t>
            </w:r>
          </w:p>
          <w:p w14:paraId="076CA0B6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 – Terceira Etapa – 6 meses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6D5E0C7A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Esterilização de animais domésticos em comunidades no estado do Rio de Janeiro.</w:t>
            </w:r>
          </w:p>
        </w:tc>
      </w:tr>
      <w:tr w:rsidR="00B13086" w:rsidRPr="00BA373D" w14:paraId="678685FF" w14:textId="77777777" w:rsidTr="00513933">
        <w:trPr>
          <w:trHeight w:val="2394"/>
          <w:jc w:val="center"/>
        </w:trPr>
        <w:tc>
          <w:tcPr>
            <w:tcW w:w="2586" w:type="dxa"/>
            <w:shd w:val="clear" w:color="auto" w:fill="auto"/>
            <w:vAlign w:val="center"/>
          </w:tcPr>
          <w:p w14:paraId="5BE17A6D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3. </w:t>
            </w:r>
            <w:r w:rsidRPr="00BA373D">
              <w:rPr>
                <w:rFonts w:ascii="Times New Roman" w:eastAsia="Times New Roman" w:hAnsi="Times New Roman" w:cs="Times New Roman"/>
                <w:lang w:eastAsia="pt-BR"/>
              </w:rPr>
              <w:t>Acompanhamento e monitoramento das ações realizadas, bem como assessoramento técnico-jurídico e publicidade das informações do convênio.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742287F4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  <w:r w:rsidRPr="00BA373D">
              <w:rPr>
                <w:rFonts w:ascii="Times New Roman" w:hAnsi="Times New Roman" w:cs="Times New Roman"/>
              </w:rPr>
              <w:t xml:space="preserve"> </w:t>
            </w: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Assessoramento e acompanhamento técnico-Jurídico.  </w:t>
            </w:r>
          </w:p>
          <w:p w14:paraId="6BC68C1B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b) Monitoramento e acompanhamento das ações realizadas.</w:t>
            </w:r>
          </w:p>
          <w:p w14:paraId="3AF9DA60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c) Publicidade e divulgação das informações coletadas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E3B6460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Informação catalogada, sistematizada, mapeada e divulgada.</w:t>
            </w:r>
          </w:p>
        </w:tc>
      </w:tr>
      <w:tr w:rsidR="00B13086" w:rsidRPr="00BA373D" w14:paraId="6978F2CD" w14:textId="77777777" w:rsidTr="00513933">
        <w:trPr>
          <w:jc w:val="center"/>
        </w:trPr>
        <w:tc>
          <w:tcPr>
            <w:tcW w:w="2586" w:type="dxa"/>
            <w:shd w:val="clear" w:color="auto" w:fill="auto"/>
            <w:vAlign w:val="center"/>
          </w:tcPr>
          <w:p w14:paraId="2ECF80A6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 Implementação de l</w:t>
            </w:r>
            <w:r w:rsidRPr="00BA373D">
              <w:rPr>
                <w:rFonts w:ascii="Times New Roman" w:hAnsi="Times New Roman" w:cs="Times New Roman"/>
              </w:rPr>
              <w:t>aboratório de Políticas Públicas no CCJP-UNIRIO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69872131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  <w:r w:rsidRPr="00BA373D">
              <w:rPr>
                <w:rFonts w:ascii="Times New Roman" w:hAnsi="Times New Roman" w:cs="Times New Roman"/>
              </w:rPr>
              <w:t xml:space="preserve"> </w:t>
            </w: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Reforma e beneficiamento de espaço físico destinado ao laboratório;</w:t>
            </w:r>
          </w:p>
          <w:p w14:paraId="00113A2F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b) Aquisição de materiais e insumos para o laboratório.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2FF1C756" w14:textId="77777777" w:rsidR="00B13086" w:rsidRPr="00BA373D" w:rsidRDefault="00B13086" w:rsidP="0051393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A37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Funcionamento de Laboratório de Políticas Públicas para Centro de Ciências Jurídicas e Políticas da UNIRIO.</w:t>
            </w:r>
          </w:p>
        </w:tc>
      </w:tr>
    </w:tbl>
    <w:p w14:paraId="600791AA" w14:textId="77777777" w:rsidR="00B13086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D6C15E1" w14:textId="77777777" w:rsidR="00B13086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6901A86" w14:textId="77777777" w:rsidR="00B13086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15672F3" w14:textId="77777777" w:rsidR="00B13086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C84C02D" w14:textId="77777777" w:rsidR="00B13086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BCD4768" w14:textId="77777777" w:rsidR="00B13086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D391813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25D930E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ADF4732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A373D">
        <w:rPr>
          <w:rFonts w:ascii="Times New Roman" w:hAnsi="Times New Roman" w:cs="Times New Roman"/>
          <w:b/>
          <w:bCs/>
          <w:u w:val="single"/>
        </w:rPr>
        <w:lastRenderedPageBreak/>
        <w:t>3 – PRAZO DO SERVIÇO E ATENDIMENTOS</w:t>
      </w:r>
    </w:p>
    <w:p w14:paraId="52BB0B1A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CA5B84A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373D">
        <w:rPr>
          <w:rFonts w:ascii="Times New Roman" w:hAnsi="Times New Roman" w:cs="Times New Roman"/>
          <w:b/>
          <w:u w:val="single"/>
        </w:rPr>
        <w:t>3.1 - PRAZO DO SERVIÇO</w:t>
      </w:r>
    </w:p>
    <w:p w14:paraId="2C9BD28A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70E8C216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C6AAA8C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 xml:space="preserve"> A referida ação, com a prestação dos serviços objeto deste Termo de Referência terá o prazo de 18 meses;</w:t>
      </w:r>
    </w:p>
    <w:p w14:paraId="131D8DB6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6FD23237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6DDD6389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373D">
        <w:rPr>
          <w:rFonts w:ascii="Times New Roman" w:hAnsi="Times New Roman" w:cs="Times New Roman"/>
          <w:b/>
          <w:u w:val="single"/>
        </w:rPr>
        <w:t>3.2 – ATENDIMENTOS</w:t>
      </w:r>
    </w:p>
    <w:p w14:paraId="61406CD6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7F9C477F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96FD9B6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3.1: Sendo os serviços considerados de natureza contínua, este Termo de Referência poderá ser prorrogado por sucessivos períodos de 12 meses</w:t>
      </w:r>
    </w:p>
    <w:p w14:paraId="42FFD749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3.2: O prazo para implementação dos serviços mencionados no item 1 (um) deverá ser de imediato, após a assinatura do contrato, levando em conta o tempo de preparo do veículo.</w:t>
      </w:r>
    </w:p>
    <w:p w14:paraId="6BF2DFE3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F83F588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A373D">
        <w:rPr>
          <w:rFonts w:ascii="Times New Roman" w:hAnsi="Times New Roman" w:cs="Times New Roman"/>
          <w:b/>
          <w:bCs/>
          <w:u w:val="single"/>
        </w:rPr>
        <w:t>4 – LOCAL DA EXECUÇÃO DO SERVIÇO</w:t>
      </w:r>
    </w:p>
    <w:p w14:paraId="646F5C2A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F2F9778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A373D">
        <w:rPr>
          <w:rFonts w:ascii="Times New Roman" w:hAnsi="Times New Roman" w:cs="Times New Roman"/>
          <w:b/>
        </w:rPr>
        <w:t>4.1:Estados do Rio de Janeiro.</w:t>
      </w:r>
    </w:p>
    <w:p w14:paraId="7FD292C2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C551735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Atualmente, no Rio de Janeiro, estima-se que haja mais de um milhão de animais entre cães e gatos, um pequeno percentual deste montante ainda sobrevive soltos pelas ruas, com ou sem donos. Pesquisas apontam que apenas 10% (dez por cento) da população animal errante é nascida na rua. Os demais são cães e gatos abandonados por seus donos, ou frutos de crias indesejáveis nas residências da cidade sujeitos a sofrerem maus tratos, serem focos de zoonoses e podem envolver-se em acidentes de trânsito e brigas.</w:t>
      </w:r>
    </w:p>
    <w:p w14:paraId="77683A78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Para mudar esse quadro juntamente com trabalho sobre posse responsável, é fundamental um trabalho de esterilização em massa desses animais além da conscientização sobre a reprodução animal e a importância da castração, seja por questões de Saúde Pública, envolvida no contexto da convivência humana, seja por questões de bem-estar animal. Programas de controle da população animal são fundamentais para uma sociedade justa e que respeita os animais. A Unidade Móvel terá como objetivo realizar a Esterilização de Cães e Gatos em áreas carentes do município do Rio de Janeiro, já que muitos cidadãos desses locais não têm como deslocar o seu animal de estimação até um centro de esterilização para realizar tal procedimento.</w:t>
      </w:r>
    </w:p>
    <w:p w14:paraId="74981536" w14:textId="77777777" w:rsidR="00B13086" w:rsidRPr="00BA373D" w:rsidRDefault="00B13086" w:rsidP="00B130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373D">
        <w:rPr>
          <w:rFonts w:ascii="Times New Roman" w:hAnsi="Times New Roman" w:cs="Times New Roman"/>
        </w:rPr>
        <w:t>Sendo assim, este projeto propõe sobre o controle da população de cães e gatos, mediante ampliação das ações de esterilização em massa objetivando a proteção, promoção e preservação da Saúde e Bem Estar Animal e da preservação da qualidade do meio ambiente, bem como promover campanhas educativas sobre a posse responsável de animais domésticos.</w:t>
      </w:r>
    </w:p>
    <w:p w14:paraId="0972B022" w14:textId="77777777" w:rsidR="00B13086" w:rsidRDefault="00B13086" w:rsidP="00B13086">
      <w:pPr>
        <w:spacing w:after="0" w:line="360" w:lineRule="auto"/>
        <w:ind w:left="357"/>
        <w:jc w:val="both"/>
        <w:rPr>
          <w:b/>
          <w:bCs/>
        </w:rPr>
      </w:pPr>
    </w:p>
    <w:p w14:paraId="0FDBB10A" w14:textId="77777777" w:rsidR="00B13086" w:rsidRDefault="00B13086" w:rsidP="00B13086">
      <w:pPr>
        <w:spacing w:after="0" w:line="360" w:lineRule="auto"/>
        <w:ind w:left="357"/>
        <w:jc w:val="both"/>
        <w:rPr>
          <w:b/>
          <w:bCs/>
        </w:rPr>
      </w:pPr>
    </w:p>
    <w:p w14:paraId="7A23984F" w14:textId="77777777" w:rsidR="00B13086" w:rsidRDefault="00B13086" w:rsidP="00B13086">
      <w:pPr>
        <w:spacing w:after="0" w:line="360" w:lineRule="auto"/>
        <w:ind w:left="357"/>
        <w:jc w:val="both"/>
        <w:rPr>
          <w:b/>
          <w:bCs/>
        </w:rPr>
      </w:pPr>
    </w:p>
    <w:p w14:paraId="4296FA12" w14:textId="77777777" w:rsidR="00B13086" w:rsidRDefault="00B13086" w:rsidP="00B13086">
      <w:pPr>
        <w:spacing w:after="0" w:line="360" w:lineRule="auto"/>
        <w:ind w:left="357"/>
        <w:jc w:val="both"/>
        <w:rPr>
          <w:b/>
          <w:bCs/>
        </w:rPr>
      </w:pPr>
    </w:p>
    <w:p w14:paraId="0554AD84" w14:textId="77777777" w:rsidR="00B13086" w:rsidRDefault="00B13086" w:rsidP="00B13086">
      <w:pPr>
        <w:spacing w:after="0" w:line="360" w:lineRule="auto"/>
        <w:ind w:left="357"/>
        <w:jc w:val="both"/>
        <w:rPr>
          <w:b/>
          <w:bCs/>
        </w:rPr>
      </w:pPr>
    </w:p>
    <w:p w14:paraId="4F9F5F31" w14:textId="77777777" w:rsidR="004B0C1F" w:rsidRDefault="004B0C1F"/>
    <w:sectPr w:rsidR="004B0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259DD"/>
    <w:multiLevelType w:val="hybridMultilevel"/>
    <w:tmpl w:val="95DCA98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86"/>
    <w:rsid w:val="004B0C1F"/>
    <w:rsid w:val="00B1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CD73"/>
  <w15:chartTrackingRefBased/>
  <w15:docId w15:val="{B2613640-24B5-410E-801B-F5FA8ED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30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13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3109</Words>
  <Characters>16789</Characters>
  <Application>Microsoft Office Word</Application>
  <DocSecurity>0</DocSecurity>
  <Lines>139</Lines>
  <Paragraphs>39</Paragraphs>
  <ScaleCrop>false</ScaleCrop>
  <Company/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Cabrini</dc:creator>
  <cp:keywords/>
  <dc:description/>
  <cp:lastModifiedBy>Tatiana Cabrini</cp:lastModifiedBy>
  <cp:revision>1</cp:revision>
  <dcterms:created xsi:type="dcterms:W3CDTF">2020-09-10T00:09:00Z</dcterms:created>
  <dcterms:modified xsi:type="dcterms:W3CDTF">2020-09-10T00:10:00Z</dcterms:modified>
</cp:coreProperties>
</file>