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1136805" cy="145788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6805" cy="14578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GUIA FORA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Como usar?</w:t>
      </w:r>
    </w:p>
    <w:p w:rsidR="00000000" w:rsidDel="00000000" w:rsidP="00000000" w:rsidRDefault="00000000" w:rsidRPr="00000000" w14:paraId="00000005">
      <w:pPr>
        <w:ind w:left="0" w:right="-624" w:firstLine="0"/>
        <w:jc w:val="both"/>
        <w:rPr/>
      </w:pPr>
      <w:r w:rsidDel="00000000" w:rsidR="00000000" w:rsidRPr="00000000">
        <w:rPr>
          <w:rtl w:val="0"/>
        </w:rPr>
        <w:t xml:space="preserve">Preencha o número do processo, o nome da unidade que está retirando o processo, a data de retirada. Após o preenchimento, coloque a GUIA FORA no local do documento para indicar a sua retirada. Após a devolução, preencher a data e devolver a GUIA FORA para ser reutilizada.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O objetivo da GUIA FORA é auxiliar o usuário na localização física do documento e sua reposição.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5.0" w:type="dxa"/>
        <w:tblLayout w:type="fixed"/>
        <w:tblLook w:val="0000"/>
      </w:tblPr>
      <w:tblGrid>
        <w:gridCol w:w="5325"/>
        <w:gridCol w:w="1785"/>
        <w:gridCol w:w="1680"/>
        <w:gridCol w:w="1695"/>
        <w:tblGridChange w:id="0">
          <w:tblGrid>
            <w:gridCol w:w="5325"/>
            <w:gridCol w:w="1785"/>
            <w:gridCol w:w="1680"/>
            <w:gridCol w:w="1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DO PROCESSO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RETIRADA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DEVOLUÇÃO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23102. _______________/__________ - 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/       /202_</w:t>
            </w:r>
          </w:p>
        </w:tc>
      </w:tr>
    </w:tbl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1136805" cy="1457887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6805" cy="14578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GUIA FORA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Como usar?</w:t>
      </w:r>
    </w:p>
    <w:p w:rsidR="00000000" w:rsidDel="00000000" w:rsidP="00000000" w:rsidRDefault="00000000" w:rsidRPr="00000000" w14:paraId="00000069">
      <w:pPr>
        <w:ind w:right="-624"/>
        <w:jc w:val="both"/>
        <w:rPr/>
      </w:pPr>
      <w:r w:rsidDel="00000000" w:rsidR="00000000" w:rsidRPr="00000000">
        <w:rPr>
          <w:rtl w:val="0"/>
        </w:rPr>
        <w:t xml:space="preserve">Preencha o nome do servidor do dossiê, o nome da unidade que está retirando o dossiê, a data de retirada. Após o preenchimento, coloque a GUIA FORA no local do documento para indicar a sua retirada. Após a devolução, preencher a data e devolver a GUIA FORA para ser reutilizada.</w:t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  <w:t xml:space="preserve">O objetivo da GUIA FORA é auxiliar o usuário na localização física do documento e sua reposição.</w:t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Ind w:w="-5.0" w:type="dxa"/>
        <w:tblLayout w:type="fixed"/>
        <w:tblLook w:val="0000"/>
      </w:tblPr>
      <w:tblGrid>
        <w:gridCol w:w="5280"/>
        <w:gridCol w:w="1515"/>
        <w:gridCol w:w="1995"/>
        <w:gridCol w:w="1695"/>
        <w:tblGridChange w:id="0">
          <w:tblGrid>
            <w:gridCol w:w="5280"/>
            <w:gridCol w:w="1515"/>
            <w:gridCol w:w="1995"/>
            <w:gridCol w:w="1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DOSSIÊ /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RETIRADA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DEVOLUÇÃO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/       /202_</w:t>
            </w:r>
          </w:p>
        </w:tc>
      </w:tr>
    </w:tbl>
    <w:p w:rsidR="00000000" w:rsidDel="00000000" w:rsidP="00000000" w:rsidRDefault="00000000" w:rsidRPr="00000000" w14:paraId="000000A4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842" w:left="813" w:right="1134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79"/>
        <w:tab w:val="right" w:leader="none" w:pos="9959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paragraph" w:styleId="CabealhoeRodap">
    <w:name w:val="Cabeçalho e Rodapé"/>
    <w:basedOn w:val="Normal"/>
    <w:qFormat w:val="1"/>
    <w:pPr>
      <w:suppressLineNumbers w:val="1"/>
      <w:tabs>
        <w:tab w:val="clear" w:pos="709"/>
        <w:tab w:val="center" w:leader="none" w:pos="4979"/>
        <w:tab w:val="right" w:leader="none" w:pos="9959"/>
      </w:tabs>
    </w:pPr>
    <w:rPr/>
  </w:style>
  <w:style w:type="paragraph" w:styleId="Cabealho">
    <w:name w:val="Header"/>
    <w:basedOn w:val="CabealhoeRodap"/>
    <w:pPr>
      <w:suppressLineNumbers w:val="1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L0uYjWHEFfZEbF39gEKlm8GUw==">CgMxLjA4AHIhMVI2WU55aGFCaWhDTzVGazNvdi1LaWZkdlBhWlBKYnln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2023-01-31T11:33:00Z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