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CC25E" w14:textId="77777777" w:rsidR="00836DD8" w:rsidRDefault="002240B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17452AC4" wp14:editId="53866024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899A3E" w14:textId="77777777" w:rsidR="00836DD8" w:rsidRDefault="00836DD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4EF0D5E" w14:textId="77777777" w:rsidR="00836DD8" w:rsidRDefault="00836DD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1E0CEFA" w14:textId="77777777" w:rsidR="00836DD8" w:rsidRDefault="00836DD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8712203" w14:textId="77777777" w:rsidR="00836DD8" w:rsidRDefault="002240B2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ESTADO DO RIO DE JANEIRO – UNIRIO</w:t>
      </w:r>
    </w:p>
    <w:p w14:paraId="5732BB15" w14:textId="77777777" w:rsidR="00836DD8" w:rsidRDefault="002240B2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LETRAS E ARTES</w:t>
      </w:r>
    </w:p>
    <w:p w14:paraId="50400758" w14:textId="77777777" w:rsidR="00836DD8" w:rsidRDefault="002240B2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DE LETRAS</w:t>
      </w:r>
    </w:p>
    <w:p w14:paraId="43669854" w14:textId="77777777" w:rsidR="00836DD8" w:rsidRDefault="00836DD8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EEB4CB" w14:textId="77777777" w:rsidR="00836DD8" w:rsidRDefault="002240B2" w:rsidP="00AE5AF1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PLANO DE CURSO EMERGENCIAL 2020.2</w:t>
      </w:r>
    </w:p>
    <w:p w14:paraId="4D9AA743" w14:textId="77777777" w:rsidR="00836DD8" w:rsidRDefault="00836DD8">
      <w:pPr>
        <w:ind w:left="0" w:right="-19" w:hanging="2"/>
        <w:jc w:val="center"/>
        <w:rPr>
          <w:sz w:val="24"/>
          <w:szCs w:val="24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836DD8" w14:paraId="0DDA9F0A" w14:textId="77777777">
        <w:trPr>
          <w:trHeight w:val="567"/>
        </w:trPr>
        <w:tc>
          <w:tcPr>
            <w:tcW w:w="9344" w:type="dxa"/>
            <w:gridSpan w:val="2"/>
          </w:tcPr>
          <w:p w14:paraId="410F952C" w14:textId="7777777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</w:t>
            </w:r>
            <w:r>
              <w:rPr>
                <w:sz w:val="24"/>
                <w:szCs w:val="24"/>
              </w:rPr>
              <w:t xml:space="preserve">Diálogos Interartísticos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36DD8" w14:paraId="5FA702C5" w14:textId="77777777">
        <w:trPr>
          <w:trHeight w:val="567"/>
        </w:trPr>
        <w:tc>
          <w:tcPr>
            <w:tcW w:w="4680" w:type="dxa"/>
          </w:tcPr>
          <w:p w14:paraId="1714053F" w14:textId="77777777" w:rsidR="00836DD8" w:rsidRDefault="002240B2" w:rsidP="00AE5AF1">
            <w:pPr>
              <w:ind w:left="1" w:hanging="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Código</w:t>
            </w:r>
            <w:r>
              <w:rPr>
                <w:sz w:val="24"/>
                <w:szCs w:val="24"/>
              </w:rPr>
              <w:t>: ALT0045</w:t>
            </w:r>
          </w:p>
        </w:tc>
        <w:tc>
          <w:tcPr>
            <w:tcW w:w="4664" w:type="dxa"/>
          </w:tcPr>
          <w:p w14:paraId="761A07B8" w14:textId="57ED9BF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sz w:val="24"/>
                <w:szCs w:val="24"/>
              </w:rPr>
              <w:t xml:space="preserve">30h </w:t>
            </w:r>
            <w:r w:rsidR="00AE5AF1">
              <w:rPr>
                <w:sz w:val="24"/>
                <w:szCs w:val="24"/>
              </w:rPr>
              <w:t>(T</w:t>
            </w:r>
            <w:r>
              <w:rPr>
                <w:sz w:val="24"/>
                <w:szCs w:val="24"/>
              </w:rPr>
              <w:t>eórica</w:t>
            </w:r>
            <w:r w:rsidR="00AE5AF1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836DD8" w14:paraId="2C124FF7" w14:textId="77777777">
        <w:trPr>
          <w:trHeight w:val="567"/>
        </w:trPr>
        <w:tc>
          <w:tcPr>
            <w:tcW w:w="9344" w:type="dxa"/>
            <w:gridSpan w:val="2"/>
          </w:tcPr>
          <w:p w14:paraId="2522332F" w14:textId="584A1EC6" w:rsidR="00836DD8" w:rsidRDefault="002240B2" w:rsidP="00AE5AF1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 xml:space="preserve">Letras - Bacharelado </w:t>
            </w:r>
          </w:p>
        </w:tc>
      </w:tr>
      <w:tr w:rsidR="00836DD8" w14:paraId="32854B8A" w14:textId="77777777">
        <w:trPr>
          <w:trHeight w:val="567"/>
        </w:trPr>
        <w:tc>
          <w:tcPr>
            <w:tcW w:w="4680" w:type="dxa"/>
          </w:tcPr>
          <w:p w14:paraId="559291EB" w14:textId="7777777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Gustavo Naves Franco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14:paraId="72F4C061" w14:textId="7777777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1762174</w:t>
            </w:r>
          </w:p>
        </w:tc>
      </w:tr>
      <w:tr w:rsidR="00836DD8" w14:paraId="2D1F52EF" w14:textId="77777777">
        <w:tc>
          <w:tcPr>
            <w:tcW w:w="9344" w:type="dxa"/>
            <w:gridSpan w:val="2"/>
          </w:tcPr>
          <w:p w14:paraId="3EAFC22D" w14:textId="7777777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 </w:t>
            </w:r>
          </w:p>
          <w:p w14:paraId="77B91867" w14:textId="77777777" w:rsidR="00836DD8" w:rsidRDefault="00836DD8">
            <w:pPr>
              <w:ind w:left="0" w:right="-19" w:hanging="2"/>
              <w:rPr>
                <w:sz w:val="24"/>
                <w:szCs w:val="24"/>
              </w:rPr>
            </w:pPr>
          </w:p>
          <w:p w14:paraId="12EA2261" w14:textId="77777777" w:rsidR="00836DD8" w:rsidRDefault="002240B2">
            <w:pPr>
              <w:spacing w:after="120"/>
              <w:ind w:left="0" w:right="566" w:hanging="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Unidade I: Introdução (2 semanas) </w:t>
            </w:r>
          </w:p>
          <w:p w14:paraId="3B359990" w14:textId="77777777" w:rsidR="00836DD8" w:rsidRDefault="00836DD8">
            <w:pPr>
              <w:spacing w:after="120"/>
              <w:ind w:left="0" w:right="566" w:hanging="2"/>
              <w:jc w:val="both"/>
              <w:rPr>
                <w:sz w:val="24"/>
                <w:szCs w:val="24"/>
                <w:u w:val="single"/>
              </w:rPr>
            </w:pPr>
          </w:p>
          <w:p w14:paraId="1250F73E" w14:textId="77777777" w:rsidR="00836DD8" w:rsidRDefault="002240B2">
            <w:pPr>
              <w:spacing w:after="120"/>
              <w:ind w:left="0" w:right="566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O canto, a palavra e a performance nos mitos de criação do mundo. </w:t>
            </w:r>
          </w:p>
          <w:p w14:paraId="4729B567" w14:textId="77777777" w:rsidR="00836DD8" w:rsidRDefault="00836DD8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</w:p>
          <w:p w14:paraId="26210CE2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Unidade II: Estudos de caso (10 semanas) </w:t>
            </w:r>
          </w:p>
          <w:p w14:paraId="5CF7F31F" w14:textId="77777777" w:rsidR="00836DD8" w:rsidRDefault="00836DD8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</w:p>
          <w:p w14:paraId="2F36CEDE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Música, poesia e encenação na tragédia grega. A questão do coro trágico. A tragédia na    obra de Paulinho da Viola. </w:t>
            </w:r>
          </w:p>
          <w:p w14:paraId="64AAF5FC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Rembrandt e Shakespeare: a teatralidade na pintura, a musicalidade no teatro. </w:t>
            </w:r>
          </w:p>
          <w:p w14:paraId="0DABAE80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Os cabarés, a canção e a modernidade no impressionismo francês. Análise de </w:t>
            </w:r>
            <w:r>
              <w:rPr>
                <w:i/>
                <w:sz w:val="24"/>
                <w:szCs w:val="24"/>
              </w:rPr>
              <w:t>Um bar no Folies-Bergère</w:t>
            </w:r>
            <w:r>
              <w:rPr>
                <w:sz w:val="24"/>
                <w:szCs w:val="24"/>
              </w:rPr>
              <w:t xml:space="preserve">, de Édouard Manet. </w:t>
            </w:r>
          </w:p>
          <w:p w14:paraId="0E5211D6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Figurações do bobo, do malandro e do </w:t>
            </w:r>
            <w:r>
              <w:rPr>
                <w:i/>
                <w:color w:val="000000"/>
                <w:sz w:val="24"/>
                <w:szCs w:val="24"/>
              </w:rPr>
              <w:t>trickster</w:t>
            </w:r>
            <w:r>
              <w:rPr>
                <w:color w:val="000000"/>
                <w:sz w:val="24"/>
                <w:szCs w:val="24"/>
              </w:rPr>
              <w:t xml:space="preserve"> na arte e na literatura brasileiras.  </w:t>
            </w:r>
          </w:p>
          <w:p w14:paraId="7D82EE18" w14:textId="77777777" w:rsidR="00836DD8" w:rsidRDefault="002240B2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Imagem, imaginação e narrativa nos arcanos do tarot de Marselha.  </w:t>
            </w:r>
          </w:p>
          <w:p w14:paraId="22F50721" w14:textId="77777777" w:rsidR="00836DD8" w:rsidRDefault="00836DD8">
            <w:pPr>
              <w:spacing w:after="120"/>
              <w:ind w:left="0" w:right="566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36DD8" w14:paraId="08DB4333" w14:textId="77777777">
        <w:tc>
          <w:tcPr>
            <w:tcW w:w="9344" w:type="dxa"/>
            <w:gridSpan w:val="2"/>
          </w:tcPr>
          <w:p w14:paraId="25BD5B6A" w14:textId="77777777" w:rsidR="00836DD8" w:rsidRDefault="002240B2" w:rsidP="00AE5AF1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Metodologia: </w:t>
            </w:r>
            <w:r>
              <w:rPr>
                <w:sz w:val="24"/>
                <w:szCs w:val="24"/>
              </w:rPr>
              <w:t xml:space="preserve">aulas expositivas (síncronas) em semanas alternadas (semana sim, semana não) às quartas-feiras, de 18 às 20h. As gravações das aulas síncronas serão disponibilizadas por 14 dias subsequentes. Atividades assíncronas: leitura de textos teóricos e exercícios teóricos ou criativos articulados aos conteúdos da disciplina. </w:t>
            </w:r>
          </w:p>
          <w:p w14:paraId="6C68BB03" w14:textId="77777777" w:rsidR="00836DD8" w:rsidRDefault="00836DD8">
            <w:pPr>
              <w:ind w:left="0" w:right="-19" w:hanging="2"/>
              <w:rPr>
                <w:sz w:val="24"/>
                <w:szCs w:val="24"/>
              </w:rPr>
            </w:pPr>
          </w:p>
        </w:tc>
      </w:tr>
      <w:tr w:rsidR="00836DD8" w14:paraId="165BBAEB" w14:textId="77777777">
        <w:tc>
          <w:tcPr>
            <w:tcW w:w="9344" w:type="dxa"/>
            <w:gridSpan w:val="2"/>
          </w:tcPr>
          <w:p w14:paraId="5EADBE96" w14:textId="77777777" w:rsidR="00836DD8" w:rsidRDefault="002240B2" w:rsidP="00AE5AF1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  </w:t>
            </w:r>
            <w:r>
              <w:rPr>
                <w:sz w:val="24"/>
                <w:szCs w:val="24"/>
              </w:rPr>
              <w:t xml:space="preserve">exposição oral ou escrita (à escolha do aluno, com opção assíncrona) de experiência de leitura de textos indicados (50% da nota). Ensaio sobre obra ou fenômeno artístico à escolha do aluno (50%). </w:t>
            </w:r>
          </w:p>
          <w:p w14:paraId="4A757023" w14:textId="77777777" w:rsidR="00836DD8" w:rsidRDefault="00836DD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836DD8" w14:paraId="17701179" w14:textId="77777777">
        <w:tc>
          <w:tcPr>
            <w:tcW w:w="9344" w:type="dxa"/>
            <w:gridSpan w:val="2"/>
          </w:tcPr>
          <w:p w14:paraId="581E98CB" w14:textId="77777777" w:rsidR="00836DD8" w:rsidRDefault="002240B2" w:rsidP="00AE5AF1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Ferramentas digitais utilizadas: </w:t>
            </w:r>
            <w:r>
              <w:rPr>
                <w:sz w:val="24"/>
                <w:szCs w:val="24"/>
              </w:rPr>
              <w:t xml:space="preserve">Google Meet e Moodle </w:t>
            </w:r>
          </w:p>
          <w:p w14:paraId="28D89244" w14:textId="77777777" w:rsidR="00836DD8" w:rsidRDefault="00836DD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836DD8" w14:paraId="7272259C" w14:textId="77777777">
        <w:tc>
          <w:tcPr>
            <w:tcW w:w="9344" w:type="dxa"/>
            <w:gridSpan w:val="2"/>
          </w:tcPr>
          <w:p w14:paraId="415B0F78" w14:textId="77777777" w:rsidR="00836DD8" w:rsidRDefault="00836DD8">
            <w:pPr>
              <w:spacing w:after="80"/>
              <w:ind w:left="0" w:hanging="2"/>
              <w:rPr>
                <w:sz w:val="24"/>
                <w:szCs w:val="24"/>
              </w:rPr>
            </w:pPr>
          </w:p>
          <w:p w14:paraId="5D6D577E" w14:textId="77777777" w:rsidR="00836DD8" w:rsidRDefault="002240B2" w:rsidP="00AE5AF1">
            <w:pPr>
              <w:spacing w:after="80"/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14:paraId="46C26200" w14:textId="77777777" w:rsidR="00836DD8" w:rsidRDefault="00836DD8">
            <w:pPr>
              <w:spacing w:after="80"/>
              <w:ind w:left="0" w:hanging="2"/>
              <w:rPr>
                <w:sz w:val="24"/>
                <w:szCs w:val="24"/>
              </w:rPr>
            </w:pPr>
          </w:p>
          <w:p w14:paraId="2A36830D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ALPERS, Svetlana. O modelo teatral. In: ____. </w:t>
            </w:r>
            <w:r>
              <w:rPr>
                <w:i/>
                <w:color w:val="000000"/>
                <w:sz w:val="24"/>
                <w:szCs w:val="24"/>
              </w:rPr>
              <w:t>O Projeto de Rembrandt: o ateliê e o mercado</w:t>
            </w:r>
            <w:r>
              <w:rPr>
                <w:color w:val="000000"/>
                <w:sz w:val="24"/>
                <w:szCs w:val="24"/>
              </w:rPr>
              <w:t xml:space="preserve">. Trad. Vera Pereira. São Paulo: Cia. das Letras, 2010. </w:t>
            </w:r>
          </w:p>
          <w:p w14:paraId="084E5687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ARAUJO, Ricardo Benzaquen de. O mundo como moinho: prudência e tragédia na obra de Paulinho da Viola. In: ____. </w:t>
            </w:r>
            <w:r>
              <w:rPr>
                <w:i/>
                <w:color w:val="000000"/>
                <w:sz w:val="24"/>
                <w:szCs w:val="24"/>
              </w:rPr>
              <w:t>Zigue-zague: ensaios reunidos</w:t>
            </w:r>
            <w:r>
              <w:rPr>
                <w:color w:val="000000"/>
                <w:sz w:val="24"/>
                <w:szCs w:val="24"/>
              </w:rPr>
              <w:t xml:space="preserve">. Organização de Carmen Felgueiras, Marcelo Jasmin e Marcos Veneu. Rio de Janeiro: Editora PUC-Rio, São Paulo: Editora Unifesp, 2019, p. 351-360. </w:t>
            </w:r>
          </w:p>
          <w:p w14:paraId="405A337D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BAKHTIN, Mikhail. </w:t>
            </w:r>
            <w:r>
              <w:rPr>
                <w:i/>
                <w:color w:val="000000"/>
                <w:sz w:val="24"/>
                <w:szCs w:val="24"/>
              </w:rPr>
              <w:t>Teoria do Romance I: estilística</w:t>
            </w:r>
            <w:r>
              <w:rPr>
                <w:color w:val="000000"/>
                <w:sz w:val="24"/>
                <w:szCs w:val="24"/>
              </w:rPr>
              <w:t>. Trad. Paulo Bezerra. São Paulo: ed. 34, 2016.</w:t>
            </w:r>
          </w:p>
          <w:p w14:paraId="5F760FF6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CLARK, T. J. Um bar no Folies-Bergère. In: ____. </w:t>
            </w:r>
            <w:r>
              <w:rPr>
                <w:i/>
                <w:color w:val="000000"/>
                <w:sz w:val="24"/>
                <w:szCs w:val="24"/>
              </w:rPr>
              <w:t>A Pintura da Vida Moderna: Paris na arte de Manet e seus seguidores</w:t>
            </w:r>
            <w:r>
              <w:rPr>
                <w:color w:val="000000"/>
                <w:sz w:val="24"/>
                <w:szCs w:val="24"/>
              </w:rPr>
              <w:t xml:space="preserve">. Trad. José Geraldo Couto. São Paulo: Cia. das Letras, 2004. </w:t>
            </w:r>
          </w:p>
          <w:p w14:paraId="4F4F2A21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DETIENNE, Marcel. </w:t>
            </w:r>
            <w:r>
              <w:rPr>
                <w:i/>
                <w:color w:val="000000"/>
                <w:sz w:val="24"/>
                <w:szCs w:val="24"/>
              </w:rPr>
              <w:t>Mestres da Verdade na Grécia Antiga</w:t>
            </w:r>
            <w:r>
              <w:rPr>
                <w:color w:val="000000"/>
                <w:sz w:val="24"/>
                <w:szCs w:val="24"/>
              </w:rPr>
              <w:t xml:space="preserve">. Trad. Ivonne Benedetti. São Paulo: Martins Fontes, 2013. </w:t>
            </w:r>
          </w:p>
          <w:p w14:paraId="2B10250F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HILLMAN, James. 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Uma Investigação sobre a Imagem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 Trad. Gustavo Barcellos. Petrópolis: Vozes, 2018. </w:t>
            </w:r>
          </w:p>
          <w:p w14:paraId="256A6799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JODOROWSKY, Alejandro e COSTA, Marianne. </w:t>
            </w:r>
            <w:r>
              <w:rPr>
                <w:i/>
                <w:color w:val="000000"/>
                <w:sz w:val="24"/>
                <w:szCs w:val="24"/>
              </w:rPr>
              <w:t>O Caminho do Tarot</w:t>
            </w:r>
            <w:r>
              <w:rPr>
                <w:color w:val="000000"/>
                <w:sz w:val="24"/>
                <w:szCs w:val="24"/>
              </w:rPr>
              <w:t>. Trad. Alexandre Barbosa de Souza. São Paulo: Editora Campos, 2016.</w:t>
            </w:r>
          </w:p>
          <w:p w14:paraId="7E15266E" w14:textId="77777777" w:rsidR="00836DD8" w:rsidRDefault="0022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RICOUER, Paul. 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A Simbólica do Mal</w:t>
            </w:r>
            <w:r>
              <w:rPr>
                <w:color w:val="000000"/>
                <w:sz w:val="24"/>
                <w:szCs w:val="24"/>
                <w:highlight w:val="white"/>
              </w:rPr>
              <w:t>. Trad. Hugo Barros e Gonçalo Marcelo. Lisboa: Edições 70, 2013.</w:t>
            </w:r>
          </w:p>
          <w:p w14:paraId="0C703F9A" w14:textId="77777777" w:rsidR="00836DD8" w:rsidRDefault="0083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944B150" w14:textId="77777777" w:rsidR="00836DD8" w:rsidRDefault="0083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6B533702" w14:textId="77777777" w:rsidR="00836DD8" w:rsidRDefault="00836DD8">
            <w:pPr>
              <w:spacing w:after="80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14:paraId="2019C271" w14:textId="77777777" w:rsidR="00836DD8" w:rsidRDefault="00836DD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836DD8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D8"/>
    <w:rsid w:val="002240B2"/>
    <w:rsid w:val="00836DD8"/>
    <w:rsid w:val="00A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8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rPr>
      <w:rFonts w:ascii="Arial" w:eastAsia="Times New Roman" w:hAnsi="Arial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rPr>
      <w:rFonts w:ascii="Arial" w:eastAsia="Times New Roman" w:hAnsi="Arial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J9CU4Jx5HO7OuYyzNfvR/ekFg==">AMUW2mWu2KQ+qBdAHTWeI3s1DIfPgbIRZ7XZT6NHC51j3GGUtPfaIttY1JkzM/iIlsryXcQ1uk50LEaelXiWUNeGOLmdu4/z4dFo9p6fv18czHruwaJWIVw=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Macintosh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3</cp:revision>
  <dcterms:created xsi:type="dcterms:W3CDTF">2021-02-05T17:05:00Z</dcterms:created>
  <dcterms:modified xsi:type="dcterms:W3CDTF">2021-02-13T12:00:00Z</dcterms:modified>
</cp:coreProperties>
</file>