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Ad Referendum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Rio de Janeiro 27 de maio de 2025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 dia vinte e sete de maio do ano corrente, foi estabelecida esta ata </w:t>
      </w:r>
      <w:r w:rsidDel="00000000" w:rsidR="00000000" w:rsidRPr="00000000">
        <w:rPr>
          <w:i w:val="1"/>
          <w:iCs w:val="1"/>
          <w:rtl w:val="0"/>
        </w:rPr>
        <w:t xml:space="preserve">ad referendum </w:t>
      </w:r>
      <w:r w:rsidDel="00000000" w:rsidR="00000000" w:rsidRPr="00000000">
        <w:rPr>
          <w:rtl w:val="0"/>
        </w:rPr>
        <w:t xml:space="preserve">aprovando a realização do projeto </w:t>
      </w:r>
      <w:r w:rsidDel="00000000" w:rsidR="00000000" w:rsidRPr="00000000">
        <w:rPr>
          <w:i w:val="1"/>
          <w:iCs w:val="1"/>
          <w:rtl w:val="0"/>
        </w:rPr>
        <w:t xml:space="preserve">Mestres de Bateria de Escola de Samba no Ensino Superior de Música</w:t>
      </w:r>
      <w:r w:rsidDel="00000000" w:rsidR="00000000" w:rsidRPr="00000000">
        <w:rPr>
          <w:rtl w:val="0"/>
        </w:rPr>
        <w:t xml:space="preserve"> em parceria com a Escola de Música da Universidade Federal do Rio de Janeiro, EM-UFRJ. A coordenação do projeto pelo Instituto Villa-Lobos, UNIRIO, caberá ao professor Dr. Vincenzo Cambria; pela Escola de Música da UFRJ, ao professor Dr. Samuel Araújo. Esta ata será submetida à aprovação pelo colegiado do Instituto Villa-Lobos na reunião de Junho do ano corrente. Em anexo encontra-se o texto do projeto em questão. Sem mais para o momento, subscrevo,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619.0000000000005" w:tblpY="0"/>
        <w:tblW w:w="385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tblGridChange w:id="0">
          <w:tblGrid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Dr. Marcelo Carneiro de Lima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Diretor do Instituto Villa-Lobos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Centro de Letras e Artes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UNIRIO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SIAPE: 1448997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2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3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9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B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