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AB" w:rsidRPr="00FB52A6" w:rsidRDefault="00D21FAB" w:rsidP="00D21FAB">
      <w:pPr>
        <w:rPr>
          <w:rFonts w:ascii="Tahoma" w:hAnsi="Tahoma" w:cs="Tahoma"/>
          <w:b/>
          <w:sz w:val="26"/>
          <w:szCs w:val="26"/>
        </w:rPr>
      </w:pPr>
    </w:p>
    <w:p w:rsidR="009C2AFA" w:rsidRPr="00F41746" w:rsidRDefault="009C2AFA" w:rsidP="00F41746">
      <w:pPr>
        <w:jc w:val="both"/>
        <w:rPr>
          <w:rFonts w:ascii="Tahoma" w:hAnsi="Tahoma" w:cs="Tahoma"/>
        </w:rPr>
      </w:pPr>
    </w:p>
    <w:p w:rsidR="009C2AFA" w:rsidRPr="00F41746" w:rsidRDefault="009C2AFA" w:rsidP="00F41746">
      <w:pPr>
        <w:jc w:val="both"/>
        <w:rPr>
          <w:rFonts w:ascii="Tahoma" w:hAnsi="Tahoma" w:cs="Tahoma"/>
        </w:rPr>
      </w:pPr>
    </w:p>
    <w:p w:rsidR="009C2AFA" w:rsidRPr="00F41746" w:rsidRDefault="009C2AFA" w:rsidP="00F41746">
      <w:pPr>
        <w:jc w:val="both"/>
        <w:rPr>
          <w:rFonts w:ascii="Tahoma" w:hAnsi="Tahoma" w:cs="Tahoma"/>
        </w:rPr>
      </w:pPr>
    </w:p>
    <w:p w:rsidR="009C2AFA" w:rsidRPr="00F41746" w:rsidRDefault="009C2AFA"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center"/>
        <w:rPr>
          <w:rFonts w:ascii="Tahoma" w:hAnsi="Tahoma" w:cs="Tahoma"/>
          <w:b/>
          <w:bCs/>
          <w:sz w:val="28"/>
          <w:szCs w:val="28"/>
        </w:rPr>
      </w:pPr>
      <w:r>
        <w:rPr>
          <w:rFonts w:ascii="Tahoma" w:hAnsi="Tahoma" w:cs="Tahoma"/>
          <w:b/>
          <w:bCs/>
          <w:sz w:val="28"/>
          <w:szCs w:val="28"/>
        </w:rPr>
        <w:t>Aula Introdutória</w:t>
      </w:r>
    </w:p>
    <w:p w:rsidR="00F865A7" w:rsidRPr="00F41746" w:rsidRDefault="00F865A7" w:rsidP="00F41746">
      <w:pPr>
        <w:jc w:val="center"/>
        <w:rPr>
          <w:rFonts w:ascii="Tahoma" w:hAnsi="Tahoma" w:cs="Tahoma"/>
          <w:b/>
          <w:bCs/>
          <w:sz w:val="28"/>
          <w:szCs w:val="28"/>
        </w:rPr>
      </w:pPr>
    </w:p>
    <w:p w:rsidR="00F865A7" w:rsidRPr="00CE2BD5" w:rsidRDefault="00F865A7" w:rsidP="00A64B8A">
      <w:pPr>
        <w:widowControl w:val="0"/>
        <w:autoSpaceDE w:val="0"/>
        <w:autoSpaceDN w:val="0"/>
        <w:adjustRightInd w:val="0"/>
        <w:jc w:val="center"/>
        <w:rPr>
          <w:rFonts w:ascii="Tahoma" w:hAnsi="Tahoma" w:cs="Tahoma"/>
          <w:i/>
          <w:iCs/>
          <w:color w:val="E4E4E4"/>
          <w:sz w:val="23"/>
          <w:szCs w:val="23"/>
        </w:rPr>
      </w:pPr>
      <w:r>
        <w:rPr>
          <w:rFonts w:ascii="Tahoma" w:hAnsi="Tahoma" w:cs="Tahoma"/>
          <w:b/>
          <w:bCs/>
          <w:sz w:val="28"/>
          <w:szCs w:val="28"/>
        </w:rPr>
        <w:t>Prof</w:t>
      </w:r>
      <w:r w:rsidRPr="00A64B8A">
        <w:rPr>
          <w:rFonts w:ascii="Tahoma" w:hAnsi="Tahoma" w:cs="Tahoma"/>
          <w:b/>
          <w:bCs/>
          <w:sz w:val="28"/>
          <w:szCs w:val="28"/>
        </w:rPr>
        <w:t>.</w:t>
      </w:r>
      <w:r>
        <w:rPr>
          <w:rFonts w:ascii="Tahoma" w:hAnsi="Tahoma" w:cs="Tahoma"/>
          <w:b/>
          <w:bCs/>
          <w:sz w:val="28"/>
          <w:szCs w:val="28"/>
        </w:rPr>
        <w:t xml:space="preserve"> Gabriela Pércio e Prof. Valéria Cordeiro</w:t>
      </w:r>
    </w:p>
    <w:p w:rsidR="00F865A7" w:rsidRPr="00F41746" w:rsidRDefault="00F865A7" w:rsidP="00A64B8A">
      <w:pPr>
        <w:rPr>
          <w:rFonts w:ascii="Tahoma" w:hAnsi="Tahoma" w:cs="Tahoma"/>
          <w:sz w:val="28"/>
          <w:szCs w:val="28"/>
        </w:rPr>
      </w:pPr>
    </w:p>
    <w:p w:rsidR="00F865A7" w:rsidRPr="00F41746" w:rsidRDefault="00F865A7" w:rsidP="00F41746">
      <w:pPr>
        <w:jc w:val="center"/>
        <w:rPr>
          <w:rFonts w:ascii="Tahoma" w:hAnsi="Tahoma" w:cs="Tahoma"/>
          <w:b/>
          <w:sz w:val="28"/>
          <w:szCs w:val="28"/>
        </w:rPr>
      </w:pPr>
      <w:r>
        <w:rPr>
          <w:rFonts w:ascii="Tahoma" w:hAnsi="Tahoma" w:cs="Tahoma"/>
          <w:b/>
          <w:sz w:val="28"/>
          <w:szCs w:val="28"/>
        </w:rPr>
        <w:t>22</w:t>
      </w:r>
      <w:r w:rsidRPr="00F41746">
        <w:rPr>
          <w:rFonts w:ascii="Tahoma" w:hAnsi="Tahoma" w:cs="Tahoma"/>
          <w:b/>
          <w:sz w:val="28"/>
          <w:szCs w:val="28"/>
        </w:rPr>
        <w:t xml:space="preserve"> de maio de 2012</w:t>
      </w:r>
    </w:p>
    <w:p w:rsidR="00F865A7" w:rsidRPr="00CE2BD5" w:rsidRDefault="00F865A7" w:rsidP="00A64B8A">
      <w:pPr>
        <w:widowControl w:val="0"/>
        <w:autoSpaceDE w:val="0"/>
        <w:autoSpaceDN w:val="0"/>
        <w:adjustRightInd w:val="0"/>
        <w:jc w:val="both"/>
        <w:rPr>
          <w:rFonts w:ascii="Tahoma" w:hAnsi="Tahoma" w:cs="Tahoma"/>
          <w:color w:val="E4E4E4"/>
          <w:sz w:val="23"/>
          <w:szCs w:val="23"/>
        </w:rPr>
      </w:pPr>
    </w:p>
    <w:p w:rsidR="00F865A7" w:rsidRPr="00CE2BD5" w:rsidRDefault="00F865A7" w:rsidP="00A64B8A">
      <w:pPr>
        <w:widowControl w:val="0"/>
        <w:autoSpaceDE w:val="0"/>
        <w:autoSpaceDN w:val="0"/>
        <w:adjustRightInd w:val="0"/>
        <w:jc w:val="both"/>
        <w:rPr>
          <w:rFonts w:ascii="Tahoma" w:hAnsi="Tahoma" w:cs="Tahoma"/>
          <w:i/>
          <w:iCs/>
          <w:color w:val="E4E4E4"/>
          <w:sz w:val="23"/>
          <w:szCs w:val="23"/>
        </w:rPr>
      </w:pPr>
    </w:p>
    <w:p w:rsidR="00F865A7" w:rsidRPr="00F41746" w:rsidRDefault="00F865A7" w:rsidP="00A64B8A">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jc w:val="both"/>
        <w:rPr>
          <w:rFonts w:ascii="Tahoma" w:hAnsi="Tahoma" w:cs="Tahoma"/>
        </w:rPr>
      </w:pPr>
    </w:p>
    <w:p w:rsidR="00F865A7" w:rsidRPr="00F41746" w:rsidRDefault="00F865A7" w:rsidP="00F41746">
      <w:pPr>
        <w:keepNext/>
        <w:framePr w:dropCap="drop" w:lines="3" w:wrap="around" w:vAnchor="text" w:hAnchor="text"/>
        <w:spacing w:after="0" w:line="1200" w:lineRule="exact"/>
        <w:jc w:val="both"/>
        <w:textAlignment w:val="baseline"/>
        <w:rPr>
          <w:rFonts w:ascii="Tahoma" w:hAnsi="Tahoma" w:cs="Tahoma"/>
          <w:b/>
          <w:position w:val="-6"/>
          <w:sz w:val="151"/>
        </w:rPr>
      </w:pPr>
      <w:r w:rsidRPr="00F41746">
        <w:rPr>
          <w:rFonts w:ascii="Tahoma" w:hAnsi="Tahoma" w:cs="Tahoma"/>
          <w:b/>
          <w:position w:val="-6"/>
          <w:sz w:val="151"/>
        </w:rPr>
        <w:t>L</w:t>
      </w:r>
    </w:p>
    <w:p w:rsidR="00F865A7" w:rsidRDefault="00F865A7" w:rsidP="00F41746">
      <w:pPr>
        <w:spacing w:before="120" w:after="120" w:line="280" w:lineRule="atLeast"/>
        <w:jc w:val="both"/>
        <w:rPr>
          <w:rFonts w:ascii="Tahoma" w:hAnsi="Tahoma" w:cs="Tahoma"/>
          <w:b/>
          <w:sz w:val="23"/>
          <w:szCs w:val="23"/>
        </w:rPr>
      </w:pPr>
      <w:r w:rsidRPr="00F41746">
        <w:rPr>
          <w:rFonts w:ascii="Tahoma" w:hAnsi="Tahoma" w:cs="Tahoma"/>
          <w:b/>
          <w:sz w:val="23"/>
          <w:szCs w:val="23"/>
        </w:rPr>
        <w:t xml:space="preserve">ei </w:t>
      </w:r>
      <w:r>
        <w:rPr>
          <w:rFonts w:ascii="Tahoma" w:hAnsi="Tahoma" w:cs="Tahoma"/>
          <w:b/>
          <w:sz w:val="23"/>
          <w:szCs w:val="23"/>
        </w:rPr>
        <w:t>Complementar nº 123/2006</w:t>
      </w:r>
    </w:p>
    <w:p w:rsidR="00F865A7" w:rsidRPr="00F41746" w:rsidRDefault="00F865A7" w:rsidP="00F41746">
      <w:pPr>
        <w:spacing w:before="120" w:after="120" w:line="280" w:lineRule="atLeast"/>
        <w:jc w:val="both"/>
        <w:rPr>
          <w:rFonts w:ascii="Tahoma" w:hAnsi="Tahoma" w:cs="Tahoma"/>
          <w:b/>
          <w:sz w:val="23"/>
          <w:szCs w:val="23"/>
        </w:rPr>
      </w:pPr>
    </w:p>
    <w:p w:rsidR="00F865A7" w:rsidRDefault="00F865A7" w:rsidP="00F865A7">
      <w:pPr>
        <w:pStyle w:val="Default"/>
        <w:widowControl w:val="0"/>
        <w:rPr>
          <w:rFonts w:ascii="Tahoma" w:hAnsi="Tahoma" w:cs="Tahoma"/>
          <w:b/>
          <w:color w:val="000000" w:themeColor="text1"/>
          <w:sz w:val="23"/>
          <w:szCs w:val="23"/>
        </w:rPr>
      </w:pPr>
    </w:p>
    <w:p w:rsidR="00F865A7" w:rsidRDefault="00F865A7" w:rsidP="00F865A7">
      <w:pPr>
        <w:pStyle w:val="Default"/>
        <w:widowControl w:val="0"/>
        <w:jc w:val="center"/>
        <w:rPr>
          <w:rFonts w:ascii="Tahoma" w:hAnsi="Tahoma" w:cs="Tahoma"/>
          <w:b/>
          <w:color w:val="000000" w:themeColor="text1"/>
          <w:sz w:val="23"/>
          <w:szCs w:val="23"/>
        </w:rPr>
      </w:pPr>
    </w:p>
    <w:p w:rsidR="00F865A7" w:rsidRDefault="00F865A7" w:rsidP="00F865A7">
      <w:pPr>
        <w:pStyle w:val="Default"/>
        <w:widowControl w:val="0"/>
        <w:jc w:val="center"/>
        <w:rPr>
          <w:rFonts w:ascii="Tahoma" w:hAnsi="Tahoma" w:cs="Tahoma"/>
          <w:b/>
          <w:color w:val="000000" w:themeColor="text1"/>
          <w:sz w:val="23"/>
          <w:szCs w:val="23"/>
        </w:rPr>
      </w:pPr>
      <w:r>
        <w:rPr>
          <w:rFonts w:ascii="Tahoma" w:hAnsi="Tahoma" w:cs="Tahoma"/>
          <w:b/>
          <w:color w:val="000000" w:themeColor="text1"/>
          <w:sz w:val="23"/>
          <w:szCs w:val="23"/>
        </w:rPr>
        <w:t xml:space="preserve">Situações que envolvem a participação de ME e EPP nas licitações </w:t>
      </w:r>
    </w:p>
    <w:p w:rsidR="00F865A7" w:rsidRDefault="00F865A7" w:rsidP="00F865A7">
      <w:pPr>
        <w:pStyle w:val="Default"/>
        <w:widowControl w:val="0"/>
        <w:jc w:val="center"/>
        <w:rPr>
          <w:rFonts w:ascii="Tahoma" w:hAnsi="Tahoma" w:cs="Tahoma"/>
          <w:b/>
          <w:color w:val="000000" w:themeColor="text1"/>
          <w:sz w:val="23"/>
          <w:szCs w:val="23"/>
        </w:rPr>
      </w:pPr>
    </w:p>
    <w:p w:rsidR="00F865A7" w:rsidRDefault="00F865A7" w:rsidP="00F865A7">
      <w:pPr>
        <w:pStyle w:val="Default"/>
        <w:widowControl w:val="0"/>
        <w:jc w:val="center"/>
        <w:rPr>
          <w:rFonts w:ascii="Tahoma" w:hAnsi="Tahoma" w:cs="Tahoma"/>
          <w:b/>
          <w:color w:val="000000" w:themeColor="text1"/>
          <w:sz w:val="23"/>
          <w:szCs w:val="23"/>
        </w:rPr>
      </w:pPr>
      <w:r>
        <w:rPr>
          <w:rFonts w:ascii="Tahoma" w:hAnsi="Tahoma" w:cs="Tahoma"/>
          <w:b/>
          <w:color w:val="000000" w:themeColor="text1"/>
          <w:sz w:val="23"/>
          <w:szCs w:val="23"/>
        </w:rPr>
        <w:t>Adesão Vertical</w:t>
      </w:r>
    </w:p>
    <w:p w:rsidR="00F865A7" w:rsidRPr="00BF6962" w:rsidRDefault="00F865A7" w:rsidP="00F865A7">
      <w:pPr>
        <w:pStyle w:val="Default"/>
        <w:widowControl w:val="0"/>
        <w:jc w:val="center"/>
        <w:rPr>
          <w:rFonts w:ascii="Tahoma" w:hAnsi="Tahoma" w:cs="Tahoma"/>
          <w:b/>
          <w:color w:val="000000" w:themeColor="text1"/>
          <w:sz w:val="23"/>
          <w:szCs w:val="23"/>
        </w:rPr>
      </w:pPr>
    </w:p>
    <w:p w:rsidR="00F865A7" w:rsidRPr="001344A6" w:rsidRDefault="00F865A7" w:rsidP="00F865A7">
      <w:pPr>
        <w:pStyle w:val="Default"/>
        <w:widowControl w:val="0"/>
        <w:jc w:val="both"/>
        <w:rPr>
          <w:rFonts w:ascii="Tahoma" w:hAnsi="Tahoma" w:cs="Tahoma"/>
          <w:b/>
          <w:color w:val="943634"/>
          <w:sz w:val="23"/>
          <w:szCs w:val="23"/>
        </w:rPr>
      </w:pPr>
    </w:p>
    <w:p w:rsidR="00F865A7" w:rsidRDefault="00F865A7" w:rsidP="00F865A7">
      <w:pPr>
        <w:widowControl w:val="0"/>
        <w:autoSpaceDE w:val="0"/>
        <w:autoSpaceDN w:val="0"/>
        <w:adjustRightInd w:val="0"/>
        <w:spacing w:after="0" w:line="240" w:lineRule="auto"/>
        <w:jc w:val="both"/>
        <w:rPr>
          <w:rFonts w:ascii="Tahoma" w:hAnsi="Tahoma" w:cs="Tahoma"/>
          <w:b/>
          <w:bCs/>
          <w:color w:val="1A1A1A"/>
          <w:sz w:val="23"/>
          <w:szCs w:val="23"/>
          <w:lang w:eastAsia="pt-BR"/>
        </w:rPr>
      </w:pPr>
      <w:r>
        <w:rPr>
          <w:rFonts w:ascii="Tahoma" w:hAnsi="Tahoma" w:cs="Tahoma"/>
          <w:b/>
          <w:bCs/>
          <w:color w:val="1A1A1A"/>
          <w:sz w:val="23"/>
          <w:szCs w:val="23"/>
          <w:lang w:eastAsia="pt-BR"/>
        </w:rPr>
        <w:t>Acórdão 2957/2011 Plenário</w:t>
      </w:r>
    </w:p>
    <w:p w:rsidR="00F865A7" w:rsidRDefault="00F865A7" w:rsidP="00F865A7">
      <w:pPr>
        <w:widowControl w:val="0"/>
        <w:autoSpaceDE w:val="0"/>
        <w:autoSpaceDN w:val="0"/>
        <w:adjustRightInd w:val="0"/>
        <w:spacing w:after="0" w:line="240" w:lineRule="auto"/>
        <w:jc w:val="both"/>
        <w:rPr>
          <w:rFonts w:ascii="Tahoma" w:hAnsi="Tahoma" w:cs="Tahoma"/>
          <w:b/>
          <w:bCs/>
          <w:color w:val="1A1A1A"/>
          <w:sz w:val="23"/>
          <w:szCs w:val="23"/>
          <w:lang w:eastAsia="pt-BR"/>
        </w:rPr>
      </w:pPr>
    </w:p>
    <w:p w:rsidR="00F865A7" w:rsidRDefault="00F865A7" w:rsidP="00F865A7">
      <w:pPr>
        <w:widowControl w:val="0"/>
        <w:autoSpaceDE w:val="0"/>
        <w:autoSpaceDN w:val="0"/>
        <w:adjustRightInd w:val="0"/>
        <w:spacing w:after="0" w:line="240" w:lineRule="auto"/>
        <w:jc w:val="both"/>
        <w:rPr>
          <w:rFonts w:ascii="Tahoma" w:hAnsi="Tahoma" w:cs="Tahoma"/>
          <w:b/>
          <w:bCs/>
          <w:color w:val="1A1A1A"/>
          <w:sz w:val="23"/>
          <w:szCs w:val="23"/>
          <w:lang w:eastAsia="pt-BR"/>
        </w:rPr>
      </w:pPr>
      <w:r w:rsidRPr="0006332B">
        <w:rPr>
          <w:rFonts w:ascii="Tahoma" w:hAnsi="Tahoma" w:cs="Tahoma"/>
          <w:b/>
          <w:bCs/>
          <w:color w:val="1A1A1A"/>
          <w:sz w:val="23"/>
          <w:szCs w:val="23"/>
          <w:lang w:eastAsia="pt-BR"/>
        </w:rPr>
        <w:t>Tratamento dispensado a microempresas e a empresas de pequeno porte em licitações: 1- Nas licitações em que for conferido o tratamento diferenciado previsto no inciso I do artigo 48 da Lei Complementar nº 123/2006 e no art. 6º do Decreto nº 6.204/2007 não se deve restringir o universo de participantes às empresas sediadas no estado em que estiver localizado o órgão ou a entidade licitante</w:t>
      </w:r>
    </w:p>
    <w:p w:rsidR="00F865A7" w:rsidRPr="0006332B" w:rsidRDefault="00F865A7" w:rsidP="00F865A7">
      <w:pPr>
        <w:widowControl w:val="0"/>
        <w:autoSpaceDE w:val="0"/>
        <w:autoSpaceDN w:val="0"/>
        <w:adjustRightInd w:val="0"/>
        <w:spacing w:after="0" w:line="240" w:lineRule="auto"/>
        <w:jc w:val="both"/>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r w:rsidRPr="0006332B">
        <w:rPr>
          <w:rFonts w:ascii="Tahoma" w:hAnsi="Tahoma" w:cs="Tahoma"/>
          <w:b/>
          <w:color w:val="1A1A1A"/>
          <w:sz w:val="23"/>
          <w:szCs w:val="23"/>
          <w:lang w:eastAsia="pt-BR"/>
        </w:rPr>
        <w:t>Consulta</w:t>
      </w:r>
      <w:r w:rsidRPr="0006332B">
        <w:rPr>
          <w:rFonts w:ascii="Tahoma" w:hAnsi="Tahoma" w:cs="Tahoma"/>
          <w:color w:val="1A1A1A"/>
          <w:sz w:val="23"/>
          <w:szCs w:val="23"/>
          <w:lang w:eastAsia="pt-BR"/>
        </w:rPr>
        <w:t xml:space="preserve"> do Presidente do Tribunal Superior do Trabalho versando sobre o tratamento diferenciado dispensado a microempresas (ME) e a empresas de pequeno porte (EPP) nas contratações públicas indagou ao TCU: </w:t>
      </w: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r w:rsidRPr="0006332B">
        <w:rPr>
          <w:rFonts w:ascii="Tahoma" w:hAnsi="Tahoma" w:cs="Tahoma"/>
          <w:color w:val="1A1A1A"/>
          <w:sz w:val="23"/>
          <w:szCs w:val="23"/>
          <w:lang w:eastAsia="pt-BR"/>
        </w:rPr>
        <w:t xml:space="preserve"> “</w:t>
      </w:r>
      <w:r w:rsidRPr="0006332B">
        <w:rPr>
          <w:rFonts w:ascii="Tahoma" w:hAnsi="Tahoma" w:cs="Tahoma"/>
          <w:iCs/>
          <w:color w:val="1A1A1A"/>
          <w:sz w:val="23"/>
          <w:szCs w:val="23"/>
          <w:lang w:eastAsia="pt-BR"/>
        </w:rPr>
        <w:t>2.1. Nos editais de licitação em que for conferido o tratamento diferenciado previsto no inciso I do artigo 48 da Lei Complementar nº 123/2006 e no art. 6º do Decreto nº 6.204/2007 deve-se restringir o universo de licitantes às empresas sediadas no estado do Espírito Santo, sob pena de cumprir-se apenas parcialmente a legislação aplicável à matéria?</w:t>
      </w:r>
      <w:r w:rsidRPr="0006332B">
        <w:rPr>
          <w:rFonts w:ascii="Tahoma" w:hAnsi="Tahoma" w:cs="Tahoma"/>
          <w:color w:val="1A1A1A"/>
          <w:sz w:val="23"/>
          <w:szCs w:val="23"/>
          <w:lang w:eastAsia="pt-BR"/>
        </w:rPr>
        <w:t>”.</w:t>
      </w: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r w:rsidRPr="0006332B">
        <w:rPr>
          <w:rFonts w:ascii="Tahoma" w:hAnsi="Tahoma" w:cs="Tahoma"/>
          <w:color w:val="1A1A1A"/>
          <w:sz w:val="23"/>
          <w:szCs w:val="23"/>
          <w:lang w:eastAsia="pt-BR"/>
        </w:rPr>
        <w:t xml:space="preserve"> O relator do feito, Ministro-Substituto André Luís de Carvalho, ponderou inicialmente que a Lei Complementar nº 123, de 2006, com respaldo dos comandos contidos nos arts. 170, inciso IX, e 179 da Constituição Federal, “</w:t>
      </w:r>
      <w:r w:rsidRPr="0006332B">
        <w:rPr>
          <w:rFonts w:ascii="Tahoma" w:hAnsi="Tahoma" w:cs="Tahoma"/>
          <w:iCs/>
          <w:color w:val="1A1A1A"/>
          <w:sz w:val="23"/>
          <w:szCs w:val="23"/>
          <w:lang w:eastAsia="pt-BR"/>
        </w:rPr>
        <w:t>fixou normas gerais atinentes ao tratamento diferenciado e favorecido a ser dispensado às microempresas e empresas de pequeno porte, no âmbito dos Poderes da União, dos Estados, do Distrito Federal e dos Municípios</w:t>
      </w:r>
      <w:r w:rsidRPr="0006332B">
        <w:rPr>
          <w:rFonts w:ascii="Tahoma" w:hAnsi="Tahoma" w:cs="Tahoma"/>
          <w:color w:val="1A1A1A"/>
          <w:sz w:val="23"/>
          <w:szCs w:val="23"/>
          <w:lang w:eastAsia="pt-BR"/>
        </w:rPr>
        <w:t xml:space="preserve">”. </w:t>
      </w: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240" w:line="240" w:lineRule="auto"/>
        <w:jc w:val="both"/>
        <w:rPr>
          <w:rFonts w:ascii="Tahoma" w:hAnsi="Tahoma" w:cs="Tahoma"/>
          <w:iCs/>
          <w:color w:val="1A1A1A"/>
          <w:sz w:val="23"/>
          <w:szCs w:val="23"/>
          <w:lang w:eastAsia="pt-BR"/>
        </w:rPr>
      </w:pPr>
      <w:r w:rsidRPr="0006332B">
        <w:rPr>
          <w:rFonts w:ascii="Tahoma" w:hAnsi="Tahoma" w:cs="Tahoma"/>
          <w:color w:val="1A1A1A"/>
          <w:sz w:val="23"/>
          <w:szCs w:val="23"/>
          <w:lang w:eastAsia="pt-BR"/>
        </w:rPr>
        <w:t> Transcreveu o art. 48, inciso I da citada lei: “</w:t>
      </w:r>
      <w:r w:rsidRPr="0006332B">
        <w:rPr>
          <w:rFonts w:ascii="Tahoma" w:hAnsi="Tahoma" w:cs="Tahoma"/>
          <w:iCs/>
          <w:color w:val="1A1A1A"/>
          <w:sz w:val="23"/>
          <w:szCs w:val="23"/>
          <w:lang w:eastAsia="pt-BR"/>
        </w:rPr>
        <w:t>Art. 48. Para o cumprimento do disposto no art. 47 desta Lei Complementar, a administração pública poderá realizar processo licitatório: I - destinado exclusivamente à participação de microempresas e empresas de pequeno porte nas contratações cujo valor seja de até R$ 80.000,00 (oitenta mil reais);</w:t>
      </w:r>
      <w:r w:rsidRPr="0006332B">
        <w:rPr>
          <w:rFonts w:ascii="Tahoma" w:hAnsi="Tahoma" w:cs="Tahoma"/>
          <w:color w:val="1A1A1A"/>
          <w:sz w:val="23"/>
          <w:szCs w:val="23"/>
          <w:lang w:eastAsia="pt-BR"/>
        </w:rPr>
        <w:t>”.</w:t>
      </w:r>
      <w:r w:rsidRPr="0006332B">
        <w:rPr>
          <w:rFonts w:ascii="Tahoma" w:hAnsi="Tahoma" w:cs="Tahoma"/>
          <w:iCs/>
          <w:color w:val="1A1A1A"/>
          <w:sz w:val="23"/>
          <w:szCs w:val="23"/>
          <w:lang w:eastAsia="pt-BR"/>
        </w:rPr>
        <w:t xml:space="preserve"> </w:t>
      </w:r>
    </w:p>
    <w:p w:rsidR="00F865A7" w:rsidRDefault="00F865A7" w:rsidP="001172C4">
      <w:pPr>
        <w:widowControl w:val="0"/>
        <w:autoSpaceDE w:val="0"/>
        <w:autoSpaceDN w:val="0"/>
        <w:adjustRightInd w:val="0"/>
        <w:spacing w:before="360" w:after="240" w:line="240" w:lineRule="auto"/>
        <w:jc w:val="both"/>
        <w:rPr>
          <w:rFonts w:ascii="Tahoma" w:hAnsi="Tahoma" w:cs="Tahoma"/>
          <w:color w:val="1A1A1A"/>
          <w:sz w:val="23"/>
          <w:szCs w:val="23"/>
          <w:lang w:eastAsia="pt-BR"/>
        </w:rPr>
      </w:pPr>
      <w:r w:rsidRPr="0006332B">
        <w:rPr>
          <w:rFonts w:ascii="Tahoma" w:hAnsi="Tahoma" w:cs="Tahoma"/>
          <w:color w:val="1A1A1A"/>
          <w:sz w:val="23"/>
          <w:szCs w:val="23"/>
          <w:lang w:eastAsia="pt-BR"/>
        </w:rPr>
        <w:t>Anotou, em seguida, que, no âmbito da administração pública federal esse tratamento diferenciado para as ME e EPP nas contratações públicas de bens, serviços e obras (arts. 47 e 48 da Lei Complementar 123/2006) foi regulamentado pelo Decreto nº 6.204, de 2007. Fez menção, também, ao art. 2º, inciso I, do Decreto nº 6.204, de 2007, segundo o qual os órgãos ou entidades contratantes</w:t>
      </w:r>
      <w:r w:rsidRPr="0006332B">
        <w:rPr>
          <w:rFonts w:ascii="Tahoma" w:hAnsi="Tahoma" w:cs="Tahoma"/>
          <w:iCs/>
          <w:color w:val="1A1A1A"/>
          <w:sz w:val="23"/>
          <w:szCs w:val="23"/>
          <w:lang w:eastAsia="pt-BR"/>
        </w:rPr>
        <w:t xml:space="preserve"> </w:t>
      </w:r>
      <w:r w:rsidRPr="0006332B">
        <w:rPr>
          <w:rFonts w:ascii="Tahoma" w:hAnsi="Tahoma" w:cs="Tahoma"/>
          <w:color w:val="1A1A1A"/>
          <w:sz w:val="23"/>
          <w:szCs w:val="23"/>
          <w:lang w:eastAsia="pt-BR"/>
        </w:rPr>
        <w:t>“</w:t>
      </w:r>
      <w:r w:rsidRPr="0006332B">
        <w:rPr>
          <w:rFonts w:ascii="Tahoma" w:hAnsi="Tahoma" w:cs="Tahoma"/>
          <w:iCs/>
          <w:color w:val="1A1A1A"/>
          <w:sz w:val="23"/>
          <w:szCs w:val="23"/>
          <w:lang w:eastAsia="pt-BR"/>
        </w:rPr>
        <w:t>devem identificar, sempre que possível, as ME e EPP sediadas regionalmente, constituindo, para tanto, cadastro próprio, de acesso livre, ou adequando os eventuais cadastros existentes, de modo a ampliar a participação dessas empresas nos processos licitatórios conduzidos pela Administração</w:t>
      </w:r>
      <w:r w:rsidRPr="0006332B">
        <w:rPr>
          <w:rFonts w:ascii="Tahoma" w:hAnsi="Tahoma" w:cs="Tahoma"/>
          <w:color w:val="1A1A1A"/>
          <w:sz w:val="23"/>
          <w:szCs w:val="23"/>
          <w:lang w:eastAsia="pt-BR"/>
        </w:rPr>
        <w:t xml:space="preserve">”. </w:t>
      </w:r>
    </w:p>
    <w:p w:rsidR="00F865A7"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r w:rsidRPr="0006332B">
        <w:rPr>
          <w:rFonts w:ascii="Tahoma" w:hAnsi="Tahoma" w:cs="Tahoma"/>
          <w:color w:val="1A1A1A"/>
          <w:sz w:val="23"/>
          <w:szCs w:val="23"/>
          <w:lang w:eastAsia="pt-BR"/>
        </w:rPr>
        <w:t>Considerou, porém, que esse comando “</w:t>
      </w:r>
      <w:r w:rsidRPr="0006332B">
        <w:rPr>
          <w:rFonts w:ascii="Tahoma" w:hAnsi="Tahoma" w:cs="Tahoma"/>
          <w:iCs/>
          <w:color w:val="1A1A1A"/>
          <w:sz w:val="23"/>
          <w:szCs w:val="23"/>
          <w:lang w:eastAsia="pt-BR"/>
        </w:rPr>
        <w:t>não tem o desiderato de impedir que acorram aos certames microempresas ou empresas de pequeno porte que não estejam estabelecidas na mesma praça em que se situa o órgão licitante, ressaltando-se tão-somente, de acordo com o inciso IV desse artigo 2º, que, na definição do objeto da contratação, não devem ser utilizadas especificações que restrinjam, injustificadamente, a participação das ME e EPP sediadas regionalmente</w:t>
      </w:r>
      <w:r w:rsidRPr="0006332B">
        <w:rPr>
          <w:rFonts w:ascii="Tahoma" w:hAnsi="Tahoma" w:cs="Tahoma"/>
          <w:color w:val="1A1A1A"/>
          <w:sz w:val="23"/>
          <w:szCs w:val="23"/>
          <w:lang w:eastAsia="pt-BR"/>
        </w:rPr>
        <w:t xml:space="preserve">”. </w:t>
      </w:r>
    </w:p>
    <w:p w:rsidR="00F865A7" w:rsidRPr="0006332B" w:rsidRDefault="00F865A7" w:rsidP="00F865A7">
      <w:pPr>
        <w:widowControl w:val="0"/>
        <w:autoSpaceDE w:val="0"/>
        <w:autoSpaceDN w:val="0"/>
        <w:adjustRightInd w:val="0"/>
        <w:spacing w:after="240" w:line="240" w:lineRule="auto"/>
        <w:jc w:val="both"/>
        <w:rPr>
          <w:rFonts w:ascii="Tahoma" w:hAnsi="Tahoma" w:cs="Tahoma"/>
          <w:color w:val="1A1A1A"/>
          <w:sz w:val="23"/>
          <w:szCs w:val="23"/>
          <w:lang w:eastAsia="pt-BR"/>
        </w:rPr>
      </w:pPr>
      <w:r w:rsidRPr="0006332B">
        <w:rPr>
          <w:rFonts w:ascii="Tahoma" w:hAnsi="Tahoma" w:cs="Tahoma"/>
          <w:color w:val="1A1A1A"/>
          <w:sz w:val="23"/>
          <w:szCs w:val="23"/>
          <w:lang w:eastAsia="pt-BR"/>
        </w:rPr>
        <w:t>Ao final, em linha de consonância com o entendimento da assessoria jurídica do TST e da unidade técnica, o relator sugeriu informar ao TST que: “</w:t>
      </w:r>
      <w:r w:rsidRPr="0006332B">
        <w:rPr>
          <w:rFonts w:ascii="Tahoma" w:hAnsi="Tahoma" w:cs="Tahoma"/>
          <w:iCs/>
          <w:color w:val="1A1A1A"/>
          <w:sz w:val="23"/>
          <w:szCs w:val="23"/>
          <w:lang w:eastAsia="pt-BR"/>
        </w:rPr>
        <w:t>nos editais de licitação em que for conferido o tratamento diferenciado previsto no inciso I do artigo 48 da Lei Complementar nº 123, de 14 de dezembro de 2006, e no art. 6º do Decreto nº 6.204, de 5 de setembro de 2007, não se deve restringir o universo de participantes às empresas sediadas no estado em que estiver localizado o órgão ou a entidade licitante;</w:t>
      </w:r>
      <w:r w:rsidRPr="0006332B">
        <w:rPr>
          <w:rFonts w:ascii="Tahoma" w:hAnsi="Tahoma" w:cs="Tahoma"/>
          <w:color w:val="1A1A1A"/>
          <w:sz w:val="23"/>
          <w:szCs w:val="23"/>
          <w:lang w:eastAsia="pt-BR"/>
        </w:rPr>
        <w:t xml:space="preserve">”. O Tribunal, então, endossou essa proposta de encaminhamento. </w:t>
      </w:r>
      <w:r w:rsidRPr="0006332B">
        <w:rPr>
          <w:rFonts w:ascii="Tahoma" w:hAnsi="Tahoma" w:cs="Tahoma"/>
          <w:b/>
          <w:bCs/>
          <w:iCs/>
          <w:sz w:val="23"/>
          <w:szCs w:val="23"/>
          <w:lang w:eastAsia="pt-BR"/>
        </w:rPr>
        <w:t xml:space="preserve">Acórdão n.º </w:t>
      </w:r>
      <w:r w:rsidRPr="0006332B">
        <w:rPr>
          <w:rFonts w:ascii="Tahoma" w:hAnsi="Tahoma" w:cs="Tahoma"/>
          <w:b/>
          <w:bCs/>
          <w:iCs/>
          <w:color w:val="1A1A1A"/>
          <w:sz w:val="23"/>
          <w:szCs w:val="23"/>
          <w:lang w:eastAsia="pt-BR"/>
        </w:rPr>
        <w:t>2957/2011-</w:t>
      </w:r>
      <w:r w:rsidRPr="0006332B">
        <w:rPr>
          <w:rFonts w:ascii="Tahoma" w:hAnsi="Tahoma" w:cs="Tahoma"/>
          <w:b/>
          <w:bCs/>
          <w:iCs/>
          <w:sz w:val="23"/>
          <w:szCs w:val="23"/>
          <w:lang w:eastAsia="pt-BR"/>
        </w:rPr>
        <w:t xml:space="preserve">Plenário, </w:t>
      </w:r>
      <w:r w:rsidRPr="0006332B">
        <w:rPr>
          <w:rFonts w:ascii="Tahoma" w:hAnsi="Tahoma" w:cs="Tahoma"/>
          <w:b/>
          <w:bCs/>
          <w:iCs/>
          <w:color w:val="1A1A1A"/>
          <w:sz w:val="23"/>
          <w:szCs w:val="23"/>
          <w:lang w:eastAsia="pt-BR"/>
        </w:rPr>
        <w:t>TC-</w:t>
      </w:r>
      <w:hyperlink r:id="rId8" w:history="1">
        <w:r w:rsidRPr="0006332B">
          <w:rPr>
            <w:rFonts w:ascii="Tahoma" w:hAnsi="Tahoma" w:cs="Tahoma"/>
            <w:b/>
            <w:bCs/>
            <w:iCs/>
            <w:color w:val="1B48B7"/>
            <w:sz w:val="23"/>
            <w:szCs w:val="23"/>
            <w:u w:val="single" w:color="1B48B7"/>
            <w:lang w:eastAsia="pt-BR"/>
          </w:rPr>
          <w:t>017.752/2011-6</w:t>
        </w:r>
      </w:hyperlink>
      <w:r w:rsidRPr="0006332B">
        <w:rPr>
          <w:rFonts w:ascii="Tahoma" w:hAnsi="Tahoma" w:cs="Tahoma"/>
          <w:b/>
          <w:bCs/>
          <w:iCs/>
          <w:sz w:val="23"/>
          <w:szCs w:val="23"/>
          <w:lang w:eastAsia="pt-BR"/>
        </w:rPr>
        <w:t xml:space="preserve">, rel. Min. </w:t>
      </w:r>
      <w:r w:rsidRPr="0006332B">
        <w:rPr>
          <w:rFonts w:ascii="Tahoma" w:hAnsi="Tahoma" w:cs="Tahoma"/>
          <w:b/>
          <w:bCs/>
          <w:iCs/>
          <w:color w:val="1A1A1A"/>
          <w:sz w:val="23"/>
          <w:szCs w:val="23"/>
          <w:lang w:eastAsia="pt-BR"/>
        </w:rPr>
        <w:t>André Luís de Carvalho</w:t>
      </w:r>
      <w:r w:rsidRPr="0006332B">
        <w:rPr>
          <w:rFonts w:ascii="Tahoma" w:hAnsi="Tahoma" w:cs="Tahoma"/>
          <w:b/>
          <w:bCs/>
          <w:iCs/>
          <w:sz w:val="23"/>
          <w:szCs w:val="23"/>
          <w:lang w:eastAsia="pt-BR"/>
        </w:rPr>
        <w:t>, 9.11.2011.</w:t>
      </w: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r w:rsidRPr="0006332B">
        <w:rPr>
          <w:rFonts w:ascii="Tahoma" w:hAnsi="Tahoma" w:cs="Tahoma"/>
          <w:color w:val="1A1A1A"/>
          <w:sz w:val="23"/>
          <w:szCs w:val="23"/>
          <w:lang w:eastAsia="pt-BR"/>
        </w:rPr>
        <w:t> </w:t>
      </w: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p>
    <w:p w:rsidR="00F865A7" w:rsidRPr="00F865A7" w:rsidRDefault="00F865A7" w:rsidP="00F865A7">
      <w:pPr>
        <w:widowControl w:val="0"/>
        <w:autoSpaceDE w:val="0"/>
        <w:autoSpaceDN w:val="0"/>
        <w:adjustRightInd w:val="0"/>
        <w:spacing w:after="0" w:line="240" w:lineRule="auto"/>
        <w:jc w:val="center"/>
        <w:rPr>
          <w:rFonts w:ascii="Tahoma" w:hAnsi="Tahoma" w:cs="Tahoma"/>
          <w:b/>
          <w:color w:val="1A1A1A"/>
          <w:sz w:val="24"/>
          <w:szCs w:val="24"/>
          <w:lang w:eastAsia="pt-BR"/>
        </w:rPr>
      </w:pPr>
      <w:r w:rsidRPr="00F865A7">
        <w:rPr>
          <w:rFonts w:ascii="Tahoma" w:hAnsi="Tahoma" w:cs="Tahoma"/>
          <w:b/>
          <w:color w:val="1A1A1A"/>
          <w:sz w:val="24"/>
          <w:szCs w:val="24"/>
          <w:lang w:eastAsia="pt-BR"/>
        </w:rPr>
        <w:t xml:space="preserve">Limitação à Adesão nas contratações exclusivas às ME e </w:t>
      </w:r>
      <w:proofErr w:type="spellStart"/>
      <w:r w:rsidRPr="00F865A7">
        <w:rPr>
          <w:rFonts w:ascii="Tahoma" w:hAnsi="Tahoma" w:cs="Tahoma"/>
          <w:b/>
          <w:color w:val="1A1A1A"/>
          <w:sz w:val="24"/>
          <w:szCs w:val="24"/>
          <w:lang w:eastAsia="pt-BR"/>
        </w:rPr>
        <w:t>EPP’s</w:t>
      </w:r>
      <w:proofErr w:type="spellEnd"/>
    </w:p>
    <w:p w:rsidR="00F865A7" w:rsidRPr="00F865A7" w:rsidRDefault="00F865A7" w:rsidP="00F865A7">
      <w:pPr>
        <w:widowControl w:val="0"/>
        <w:autoSpaceDE w:val="0"/>
        <w:autoSpaceDN w:val="0"/>
        <w:adjustRightInd w:val="0"/>
        <w:spacing w:after="0" w:line="240" w:lineRule="auto"/>
        <w:jc w:val="center"/>
        <w:rPr>
          <w:rFonts w:ascii="Tahoma" w:hAnsi="Tahoma" w:cs="Tahoma"/>
          <w:b/>
          <w:color w:val="1A1A1A"/>
          <w:sz w:val="24"/>
          <w:szCs w:val="24"/>
          <w:lang w:eastAsia="pt-BR"/>
        </w:rPr>
      </w:pPr>
    </w:p>
    <w:p w:rsidR="00F865A7" w:rsidRPr="00F865A7" w:rsidRDefault="00F865A7" w:rsidP="00F865A7">
      <w:pPr>
        <w:widowControl w:val="0"/>
        <w:autoSpaceDE w:val="0"/>
        <w:autoSpaceDN w:val="0"/>
        <w:adjustRightInd w:val="0"/>
        <w:spacing w:after="0" w:line="240" w:lineRule="auto"/>
        <w:jc w:val="center"/>
        <w:rPr>
          <w:rFonts w:ascii="Tahoma" w:hAnsi="Tahoma" w:cs="Tahoma"/>
          <w:b/>
          <w:color w:val="1A1A1A"/>
          <w:sz w:val="24"/>
          <w:szCs w:val="24"/>
          <w:lang w:eastAsia="pt-BR"/>
        </w:rPr>
      </w:pPr>
      <w:r w:rsidRPr="00F865A7">
        <w:rPr>
          <w:rFonts w:ascii="Tahoma" w:hAnsi="Tahoma" w:cs="Tahoma"/>
          <w:b/>
          <w:color w:val="1A1A1A"/>
          <w:sz w:val="24"/>
          <w:szCs w:val="24"/>
          <w:lang w:eastAsia="pt-BR"/>
        </w:rPr>
        <w:t>(somatório dos valores das contratações e adesões não poderá ser superior à R$ 80.000,00 por item)</w:t>
      </w:r>
    </w:p>
    <w:p w:rsidR="00F865A7" w:rsidRDefault="00F865A7" w:rsidP="00F865A7">
      <w:pPr>
        <w:widowControl w:val="0"/>
        <w:autoSpaceDE w:val="0"/>
        <w:autoSpaceDN w:val="0"/>
        <w:adjustRightInd w:val="0"/>
        <w:spacing w:after="0" w:line="240" w:lineRule="auto"/>
        <w:rPr>
          <w:rFonts w:ascii="Tahoma" w:hAnsi="Tahoma" w:cs="Tahoma"/>
          <w:color w:val="1A1A1A"/>
          <w:sz w:val="23"/>
          <w:szCs w:val="23"/>
          <w:lang w:eastAsia="pt-BR"/>
        </w:rPr>
      </w:pPr>
    </w:p>
    <w:p w:rsidR="00F865A7" w:rsidRPr="0006332B" w:rsidRDefault="00F865A7" w:rsidP="00F865A7">
      <w:pPr>
        <w:widowControl w:val="0"/>
        <w:autoSpaceDE w:val="0"/>
        <w:autoSpaceDN w:val="0"/>
        <w:adjustRightInd w:val="0"/>
        <w:spacing w:after="0" w:line="240" w:lineRule="auto"/>
        <w:jc w:val="both"/>
        <w:rPr>
          <w:rFonts w:ascii="Tahoma" w:hAnsi="Tahoma" w:cs="Tahoma"/>
          <w:color w:val="1A1A1A"/>
          <w:sz w:val="23"/>
          <w:szCs w:val="23"/>
          <w:lang w:eastAsia="pt-BR"/>
        </w:rPr>
      </w:pPr>
    </w:p>
    <w:p w:rsidR="00F865A7" w:rsidRDefault="00F865A7" w:rsidP="00F865A7">
      <w:pPr>
        <w:spacing w:line="360" w:lineRule="auto"/>
        <w:ind w:left="360"/>
        <w:jc w:val="both"/>
        <w:rPr>
          <w:rFonts w:ascii="Tahoma" w:hAnsi="Tahoma" w:cs="Tahoma"/>
          <w:color w:val="1A1A1A"/>
          <w:sz w:val="23"/>
          <w:szCs w:val="23"/>
          <w:lang w:eastAsia="pt-BR"/>
        </w:rPr>
      </w:pPr>
      <w:r>
        <w:rPr>
          <w:rFonts w:ascii="Tahoma" w:hAnsi="Tahoma" w:cs="Tahoma"/>
          <w:color w:val="1A1A1A"/>
          <w:sz w:val="23"/>
          <w:szCs w:val="23"/>
          <w:lang w:eastAsia="pt-BR"/>
        </w:rPr>
        <w:t xml:space="preserve"> Em</w:t>
      </w:r>
      <w:r w:rsidRPr="0006332B">
        <w:rPr>
          <w:rFonts w:ascii="Tahoma" w:hAnsi="Tahoma" w:cs="Tahoma"/>
          <w:color w:val="1A1A1A"/>
          <w:sz w:val="23"/>
          <w:szCs w:val="23"/>
          <w:lang w:eastAsia="pt-BR"/>
        </w:rPr>
        <w:t xml:space="preserve"> consulta formulada pelo Presidente TST, o Tribunal foi chamado a responder as seguintes indagações: </w:t>
      </w:r>
    </w:p>
    <w:p w:rsidR="00F865A7" w:rsidRPr="00F865A7" w:rsidRDefault="00F865A7" w:rsidP="00F865A7">
      <w:pPr>
        <w:spacing w:line="360" w:lineRule="auto"/>
        <w:ind w:left="360"/>
        <w:jc w:val="both"/>
        <w:rPr>
          <w:rFonts w:ascii="Tahoma" w:hAnsi="Tahoma" w:cs="Tahoma"/>
          <w:b/>
          <w:color w:val="943634" w:themeColor="accent2" w:themeShade="BF"/>
          <w:sz w:val="23"/>
          <w:szCs w:val="23"/>
          <w:lang w:eastAsia="pt-BR"/>
        </w:rPr>
      </w:pPr>
      <w:r>
        <w:rPr>
          <w:rFonts w:ascii="Tahoma" w:hAnsi="Tahoma" w:cs="Tahoma"/>
          <w:b/>
          <w:color w:val="943634" w:themeColor="accent2" w:themeShade="BF"/>
          <w:sz w:val="23"/>
          <w:szCs w:val="23"/>
          <w:lang w:eastAsia="pt-BR"/>
        </w:rPr>
        <w:t xml:space="preserve">Pergunta 1 </w:t>
      </w:r>
      <w:r w:rsidRPr="00F865A7">
        <w:rPr>
          <w:rFonts w:ascii="Tahoma" w:hAnsi="Tahoma" w:cs="Tahoma"/>
          <w:b/>
          <w:color w:val="943634" w:themeColor="accent2" w:themeShade="BF"/>
          <w:sz w:val="23"/>
          <w:szCs w:val="23"/>
          <w:lang w:eastAsia="pt-BR"/>
        </w:rPr>
        <w:t>:</w:t>
      </w:r>
    </w:p>
    <w:p w:rsidR="00F865A7" w:rsidRDefault="00F865A7" w:rsidP="00F865A7">
      <w:pPr>
        <w:spacing w:line="360" w:lineRule="auto"/>
        <w:ind w:left="360"/>
        <w:jc w:val="both"/>
        <w:rPr>
          <w:rFonts w:ascii="Tahoma" w:hAnsi="Tahoma" w:cs="Tahoma"/>
          <w:b/>
          <w:iCs/>
          <w:color w:val="943634" w:themeColor="accent2" w:themeShade="BF"/>
          <w:sz w:val="23"/>
          <w:szCs w:val="23"/>
          <w:lang w:eastAsia="pt-BR"/>
        </w:rPr>
      </w:pPr>
      <w:r w:rsidRPr="00F865A7">
        <w:rPr>
          <w:rFonts w:ascii="Tahoma" w:hAnsi="Tahoma" w:cs="Tahoma"/>
          <w:b/>
          <w:color w:val="943634" w:themeColor="accent2" w:themeShade="BF"/>
          <w:sz w:val="23"/>
          <w:szCs w:val="23"/>
          <w:lang w:eastAsia="pt-BR"/>
        </w:rPr>
        <w:t>“</w:t>
      </w:r>
      <w:r w:rsidRPr="00F865A7">
        <w:rPr>
          <w:rFonts w:ascii="Tahoma" w:hAnsi="Tahoma" w:cs="Tahoma"/>
          <w:b/>
          <w:iCs/>
          <w:color w:val="943634" w:themeColor="accent2" w:themeShade="BF"/>
          <w:sz w:val="23"/>
          <w:szCs w:val="23"/>
          <w:lang w:eastAsia="pt-BR"/>
        </w:rPr>
        <w:t xml:space="preserve">2.2. As licitações processadas mediante o Sistema de Registro de Preços (SRP), cujo valor estimado seja igual ou menor a R$ 80.000,00, devem ser destinadas à contratação exclusiva de ME e EPP? </w:t>
      </w:r>
    </w:p>
    <w:p w:rsidR="00F865A7" w:rsidRPr="00F865A7" w:rsidRDefault="00F865A7" w:rsidP="00F865A7">
      <w:pPr>
        <w:spacing w:line="360" w:lineRule="auto"/>
        <w:ind w:left="360"/>
        <w:jc w:val="both"/>
        <w:rPr>
          <w:rFonts w:ascii="Tahoma" w:hAnsi="Tahoma" w:cs="Tahoma"/>
          <w:b/>
          <w:iCs/>
          <w:color w:val="943634" w:themeColor="accent2" w:themeShade="BF"/>
          <w:sz w:val="23"/>
          <w:szCs w:val="23"/>
          <w:lang w:eastAsia="pt-BR"/>
        </w:rPr>
      </w:pPr>
      <w:r>
        <w:rPr>
          <w:rFonts w:ascii="Tahoma" w:hAnsi="Tahoma" w:cs="Tahoma"/>
          <w:b/>
          <w:iCs/>
          <w:color w:val="943634" w:themeColor="accent2" w:themeShade="BF"/>
          <w:sz w:val="23"/>
          <w:szCs w:val="23"/>
          <w:lang w:eastAsia="pt-BR"/>
        </w:rPr>
        <w:t xml:space="preserve">Pergunta 2 </w:t>
      </w:r>
    </w:p>
    <w:p w:rsidR="00F865A7" w:rsidRPr="00F865A7" w:rsidRDefault="00F865A7" w:rsidP="00F865A7">
      <w:pPr>
        <w:spacing w:line="360" w:lineRule="auto"/>
        <w:ind w:left="360"/>
        <w:jc w:val="both"/>
        <w:rPr>
          <w:rFonts w:ascii="Tahoma" w:hAnsi="Tahoma" w:cs="Tahoma"/>
          <w:b/>
          <w:color w:val="943634" w:themeColor="accent2" w:themeShade="BF"/>
          <w:sz w:val="23"/>
          <w:szCs w:val="23"/>
          <w:lang w:eastAsia="pt-BR"/>
        </w:rPr>
      </w:pPr>
      <w:r w:rsidRPr="00F865A7">
        <w:rPr>
          <w:rFonts w:ascii="Tahoma" w:hAnsi="Tahoma" w:cs="Tahoma"/>
          <w:b/>
          <w:iCs/>
          <w:color w:val="943634" w:themeColor="accent2" w:themeShade="BF"/>
          <w:sz w:val="23"/>
          <w:szCs w:val="23"/>
          <w:lang w:eastAsia="pt-BR"/>
        </w:rPr>
        <w:t>2.3. No caso de resposta afirmativa à questão anterior, nas licitações processadas por meio do SRP, que forem destinadas à contratação exclusiva de ME e EPP, podem-se definir regras para os órgãos interessados na adesão, segundo as quais a quantidade de itens/valores a ser adquirida deverá ser somada às quantidades das contratações já efetivadas, de forma que a soma não supere a R$ 80.000,00?”</w:t>
      </w:r>
      <w:r w:rsidRPr="00F865A7">
        <w:rPr>
          <w:rFonts w:ascii="Tahoma" w:hAnsi="Tahoma" w:cs="Tahoma"/>
          <w:b/>
          <w:color w:val="943634" w:themeColor="accent2" w:themeShade="BF"/>
          <w:sz w:val="23"/>
          <w:szCs w:val="23"/>
          <w:lang w:eastAsia="pt-BR"/>
        </w:rPr>
        <w:t xml:space="preserve">. </w:t>
      </w:r>
    </w:p>
    <w:p w:rsidR="00F865A7" w:rsidRDefault="00F865A7" w:rsidP="00F865A7">
      <w:pPr>
        <w:spacing w:line="360" w:lineRule="auto"/>
        <w:ind w:left="360"/>
        <w:jc w:val="both"/>
        <w:rPr>
          <w:rFonts w:ascii="Tahoma" w:hAnsi="Tahoma" w:cs="Tahoma"/>
          <w:color w:val="1A1A1A"/>
          <w:sz w:val="23"/>
          <w:szCs w:val="23"/>
          <w:lang w:eastAsia="pt-BR"/>
        </w:rPr>
      </w:pPr>
    </w:p>
    <w:p w:rsidR="00F865A7" w:rsidRDefault="00F865A7" w:rsidP="00F865A7">
      <w:pPr>
        <w:spacing w:line="360" w:lineRule="auto"/>
        <w:ind w:left="360"/>
        <w:jc w:val="both"/>
        <w:rPr>
          <w:rFonts w:ascii="Tahoma" w:hAnsi="Tahoma" w:cs="Tahoma"/>
          <w:color w:val="1A1A1A"/>
          <w:sz w:val="23"/>
          <w:szCs w:val="23"/>
          <w:lang w:eastAsia="pt-BR"/>
        </w:rPr>
      </w:pPr>
    </w:p>
    <w:p w:rsidR="00F865A7" w:rsidRDefault="00F865A7" w:rsidP="00F865A7">
      <w:pPr>
        <w:spacing w:line="360" w:lineRule="auto"/>
        <w:ind w:left="360"/>
        <w:jc w:val="both"/>
        <w:rPr>
          <w:rFonts w:ascii="Tahoma" w:hAnsi="Tahoma" w:cs="Tahoma"/>
          <w:color w:val="1A1A1A"/>
          <w:sz w:val="23"/>
          <w:szCs w:val="23"/>
          <w:lang w:eastAsia="pt-BR"/>
        </w:rPr>
      </w:pPr>
    </w:p>
    <w:p w:rsidR="00F865A7" w:rsidRDefault="00F865A7" w:rsidP="00F865A7">
      <w:pPr>
        <w:spacing w:line="360" w:lineRule="auto"/>
        <w:ind w:left="360"/>
        <w:jc w:val="both"/>
        <w:rPr>
          <w:rFonts w:ascii="Tahoma" w:hAnsi="Tahoma" w:cs="Tahoma"/>
          <w:color w:val="1A1A1A"/>
          <w:sz w:val="23"/>
          <w:szCs w:val="23"/>
          <w:lang w:eastAsia="pt-BR"/>
        </w:rPr>
      </w:pPr>
    </w:p>
    <w:p w:rsidR="00F865A7" w:rsidRPr="00F865A7" w:rsidRDefault="00F865A7" w:rsidP="00F865A7">
      <w:pPr>
        <w:spacing w:line="360" w:lineRule="auto"/>
        <w:ind w:left="360"/>
        <w:jc w:val="both"/>
        <w:rPr>
          <w:rFonts w:ascii="Tahoma" w:hAnsi="Tahoma" w:cs="Tahoma"/>
          <w:b/>
          <w:color w:val="1A1A1A"/>
          <w:sz w:val="23"/>
          <w:szCs w:val="23"/>
          <w:lang w:eastAsia="pt-BR"/>
        </w:rPr>
      </w:pPr>
      <w:r w:rsidRPr="00F865A7">
        <w:rPr>
          <w:rFonts w:ascii="Tahoma" w:hAnsi="Tahoma" w:cs="Tahoma"/>
          <w:b/>
          <w:color w:val="1A1A1A"/>
          <w:sz w:val="23"/>
          <w:szCs w:val="23"/>
          <w:lang w:eastAsia="pt-BR"/>
        </w:rPr>
        <w:t xml:space="preserve">Respostas: </w:t>
      </w:r>
    </w:p>
    <w:p w:rsidR="00F865A7" w:rsidRDefault="00F865A7" w:rsidP="00F865A7">
      <w:pPr>
        <w:spacing w:line="360" w:lineRule="auto"/>
        <w:ind w:left="360"/>
        <w:jc w:val="both"/>
        <w:rPr>
          <w:rFonts w:ascii="Tahoma" w:hAnsi="Tahoma" w:cs="Tahoma"/>
          <w:color w:val="1A1A1A"/>
          <w:sz w:val="23"/>
          <w:szCs w:val="23"/>
          <w:lang w:eastAsia="pt-BR"/>
        </w:rPr>
      </w:pPr>
      <w:r w:rsidRPr="0006332B">
        <w:rPr>
          <w:rFonts w:ascii="Tahoma" w:hAnsi="Tahoma" w:cs="Tahoma"/>
          <w:color w:val="1A1A1A"/>
          <w:sz w:val="23"/>
          <w:szCs w:val="23"/>
          <w:lang w:eastAsia="pt-BR"/>
        </w:rPr>
        <w:t xml:space="preserve">O relator, ao enfrentar tais questões, observou que a utilização do Sistema de Registro de Preços foi regulamentada pelo Decreto nº 3.931, de 2001. </w:t>
      </w:r>
    </w:p>
    <w:p w:rsidR="00F865A7" w:rsidRDefault="00851FE5" w:rsidP="00F865A7">
      <w:pPr>
        <w:spacing w:line="360" w:lineRule="auto"/>
        <w:ind w:left="360"/>
        <w:jc w:val="both"/>
        <w:rPr>
          <w:rFonts w:ascii="Tahoma" w:hAnsi="Tahoma" w:cs="Tahoma"/>
          <w:sz w:val="23"/>
          <w:szCs w:val="23"/>
          <w:lang w:eastAsia="pt-BR"/>
        </w:rPr>
      </w:pPr>
      <w:r>
        <w:rPr>
          <w:rFonts w:ascii="Tahoma" w:hAnsi="Tahoma" w:cs="Tahoma"/>
          <w:color w:val="1A1A1A"/>
          <w:sz w:val="23"/>
          <w:szCs w:val="23"/>
          <w:lang w:eastAsia="pt-BR"/>
        </w:rPr>
        <w:t xml:space="preserve">(...) </w:t>
      </w:r>
      <w:r w:rsidR="00F865A7" w:rsidRPr="0006332B">
        <w:rPr>
          <w:rFonts w:ascii="Tahoma" w:hAnsi="Tahoma" w:cs="Tahoma"/>
          <w:color w:val="1A1A1A"/>
          <w:sz w:val="23"/>
          <w:szCs w:val="23"/>
          <w:lang w:eastAsia="pt-BR"/>
        </w:rPr>
        <w:t xml:space="preserve">Anotou, entretanto, que o Tribunal, por meio do Acórdão 1.487/2007-TCU-Plenário, cujo Voto condutor foi proferido pelo Valmir Campelo, sinalizou, no subitem 9.2.2., a necessidade de que o Ministério do Planejamento, Orçamento e Gestão adotasse providências </w:t>
      </w:r>
      <w:r w:rsidR="00F865A7" w:rsidRPr="0006332B">
        <w:rPr>
          <w:rFonts w:ascii="Tahoma" w:hAnsi="Tahoma" w:cs="Tahoma"/>
          <w:iCs/>
          <w:color w:val="1A1A1A"/>
          <w:sz w:val="23"/>
          <w:szCs w:val="23"/>
          <w:lang w:eastAsia="pt-BR"/>
        </w:rPr>
        <w:t>“</w:t>
      </w:r>
      <w:r w:rsidR="00F865A7" w:rsidRPr="00851FE5">
        <w:rPr>
          <w:rFonts w:ascii="Tahoma" w:hAnsi="Tahoma" w:cs="Tahoma"/>
          <w:b/>
          <w:iCs/>
          <w:color w:val="1A1A1A"/>
          <w:sz w:val="23"/>
          <w:szCs w:val="23"/>
          <w:lang w:eastAsia="pt-BR"/>
        </w:rPr>
        <w:t xml:space="preserve">com vistas à reavaliação das regras atualmente estabelecidas para o registro de preços no Decreto nº 3.931/2001, de forma a estabelecer limites para a adesão a registros de preços realizados por </w:t>
      </w:r>
      <w:r w:rsidR="00F865A7" w:rsidRPr="00851FE5">
        <w:rPr>
          <w:rFonts w:ascii="Tahoma" w:hAnsi="Tahoma" w:cs="Tahoma"/>
          <w:b/>
          <w:iCs/>
          <w:sz w:val="23"/>
          <w:szCs w:val="23"/>
          <w:lang w:eastAsia="pt-BR"/>
        </w:rPr>
        <w:t xml:space="preserve">outros órgãos </w:t>
      </w:r>
      <w:r w:rsidR="00F865A7" w:rsidRPr="00851FE5">
        <w:rPr>
          <w:rFonts w:ascii="Tahoma" w:hAnsi="Tahoma" w:cs="Tahoma"/>
          <w:b/>
          <w:iCs/>
          <w:color w:val="1A1A1A"/>
          <w:sz w:val="23"/>
          <w:szCs w:val="23"/>
          <w:lang w:eastAsia="pt-BR"/>
        </w:rPr>
        <w:t>e</w:t>
      </w:r>
      <w:r w:rsidR="00F865A7" w:rsidRPr="00851FE5">
        <w:rPr>
          <w:rFonts w:ascii="Tahoma" w:hAnsi="Tahoma" w:cs="Tahoma"/>
          <w:b/>
          <w:iCs/>
          <w:sz w:val="23"/>
          <w:szCs w:val="23"/>
          <w:lang w:eastAsia="pt-BR"/>
        </w:rPr>
        <w:t xml:space="preserve"> entidades, visando a preservar os princípios da competição, da igualdade de condições entre os licitantes </w:t>
      </w:r>
      <w:r w:rsidR="00F865A7" w:rsidRPr="00851FE5">
        <w:rPr>
          <w:rFonts w:ascii="Tahoma" w:hAnsi="Tahoma" w:cs="Tahoma"/>
          <w:b/>
          <w:iCs/>
          <w:color w:val="1A1A1A"/>
          <w:sz w:val="23"/>
          <w:szCs w:val="23"/>
          <w:lang w:eastAsia="pt-BR"/>
        </w:rPr>
        <w:t>e</w:t>
      </w:r>
      <w:r w:rsidR="00F865A7" w:rsidRPr="00851FE5">
        <w:rPr>
          <w:rFonts w:ascii="Tahoma" w:hAnsi="Tahoma" w:cs="Tahoma"/>
          <w:b/>
          <w:iCs/>
          <w:sz w:val="23"/>
          <w:szCs w:val="23"/>
          <w:lang w:eastAsia="pt-BR"/>
        </w:rPr>
        <w:t xml:space="preserve"> da busca da maior vantagem para a Administração Pública, tendo em vista que as regras atuais permitem a indesejável situação de adesão ilimitada a atas em vigor, desvirtuando as finalidades buscadas por essa sistemática</w:t>
      </w:r>
      <w:r w:rsidR="00F865A7" w:rsidRPr="0006332B">
        <w:rPr>
          <w:rFonts w:ascii="Tahoma" w:hAnsi="Tahoma" w:cs="Tahoma"/>
          <w:iCs/>
          <w:sz w:val="23"/>
          <w:szCs w:val="23"/>
          <w:lang w:eastAsia="pt-BR"/>
        </w:rPr>
        <w:t>”</w:t>
      </w:r>
      <w:r w:rsidR="00F865A7" w:rsidRPr="0006332B">
        <w:rPr>
          <w:rFonts w:ascii="Tahoma" w:hAnsi="Tahoma" w:cs="Tahoma"/>
          <w:sz w:val="23"/>
          <w:szCs w:val="23"/>
          <w:lang w:eastAsia="pt-BR"/>
        </w:rPr>
        <w:t xml:space="preserve">. </w:t>
      </w:r>
    </w:p>
    <w:p w:rsidR="00F865A7" w:rsidRDefault="00F865A7" w:rsidP="00F865A7">
      <w:pPr>
        <w:spacing w:line="360" w:lineRule="auto"/>
        <w:ind w:left="360"/>
        <w:jc w:val="both"/>
        <w:rPr>
          <w:rFonts w:ascii="Tahoma" w:hAnsi="Tahoma" w:cs="Tahoma"/>
          <w:sz w:val="23"/>
          <w:szCs w:val="23"/>
          <w:lang w:eastAsia="pt-BR"/>
        </w:rPr>
      </w:pPr>
    </w:p>
    <w:p w:rsidR="00F865A7" w:rsidRDefault="00F865A7" w:rsidP="001172C4">
      <w:pPr>
        <w:spacing w:line="360" w:lineRule="auto"/>
        <w:ind w:left="360"/>
        <w:jc w:val="both"/>
        <w:rPr>
          <w:rFonts w:ascii="Tahoma" w:hAnsi="Tahoma" w:cs="Tahoma"/>
          <w:color w:val="1A1A1A"/>
          <w:sz w:val="23"/>
          <w:szCs w:val="23"/>
          <w:lang w:eastAsia="pt-BR"/>
        </w:rPr>
      </w:pPr>
      <w:r w:rsidRPr="00F865A7">
        <w:rPr>
          <w:rFonts w:ascii="Tahoma" w:hAnsi="Tahoma" w:cs="Tahoma"/>
          <w:b/>
          <w:sz w:val="23"/>
          <w:szCs w:val="23"/>
          <w:lang w:eastAsia="pt-BR"/>
        </w:rPr>
        <w:t xml:space="preserve">Acrescentou, ainda, que o limite máximo de R$ 80.000,00 a que se refere o art. 48, inciso I, da Lei nº 8.443/1993 </w:t>
      </w:r>
      <w:r w:rsidRPr="003425D9">
        <w:rPr>
          <w:rFonts w:ascii="Tahoma" w:hAnsi="Tahoma" w:cs="Tahoma"/>
          <w:b/>
          <w:sz w:val="23"/>
          <w:szCs w:val="23"/>
          <w:lang w:eastAsia="pt-BR"/>
        </w:rPr>
        <w:t>deve ser aferido para cada item que passará a ter seu preço registrado.</w:t>
      </w:r>
      <w:r w:rsidRPr="0006332B">
        <w:rPr>
          <w:rFonts w:ascii="Tahoma" w:hAnsi="Tahoma" w:cs="Tahoma"/>
          <w:sz w:val="23"/>
          <w:szCs w:val="23"/>
          <w:lang w:eastAsia="pt-BR"/>
        </w:rPr>
        <w:t xml:space="preserve"> Tudo se passa como se fossem realizadas “</w:t>
      </w:r>
      <w:r w:rsidRPr="0006332B">
        <w:rPr>
          <w:rFonts w:ascii="Tahoma" w:hAnsi="Tahoma" w:cs="Tahoma"/>
          <w:iCs/>
          <w:sz w:val="23"/>
          <w:szCs w:val="23"/>
          <w:lang w:eastAsia="pt-BR"/>
        </w:rPr>
        <w:t>várias licitações d</w:t>
      </w:r>
      <w:r w:rsidRPr="0006332B">
        <w:rPr>
          <w:rFonts w:ascii="Tahoma" w:hAnsi="Tahoma" w:cs="Tahoma"/>
          <w:iCs/>
          <w:color w:val="1A1A1A"/>
          <w:sz w:val="23"/>
          <w:szCs w:val="23"/>
          <w:lang w:eastAsia="pt-BR"/>
        </w:rPr>
        <w:t>istintas e independentes</w:t>
      </w:r>
      <w:r w:rsidRPr="0006332B">
        <w:rPr>
          <w:rFonts w:ascii="Tahoma" w:hAnsi="Tahoma" w:cs="Tahoma"/>
          <w:color w:val="1A1A1A"/>
          <w:sz w:val="23"/>
          <w:szCs w:val="23"/>
          <w:lang w:eastAsia="pt-BR"/>
        </w:rPr>
        <w:t>” para cada um dos itens.</w:t>
      </w:r>
    </w:p>
    <w:p w:rsidR="00851FE5" w:rsidRDefault="00851FE5" w:rsidP="001172C4">
      <w:pPr>
        <w:spacing w:line="360" w:lineRule="auto"/>
        <w:ind w:left="360"/>
        <w:jc w:val="both"/>
        <w:rPr>
          <w:rFonts w:ascii="Tahoma" w:hAnsi="Tahoma" w:cs="Tahoma"/>
          <w:color w:val="1A1A1A"/>
          <w:sz w:val="23"/>
          <w:szCs w:val="23"/>
          <w:lang w:eastAsia="pt-BR"/>
        </w:rPr>
      </w:pPr>
    </w:p>
    <w:p w:rsidR="00851FE5" w:rsidRDefault="00851FE5" w:rsidP="001172C4">
      <w:pPr>
        <w:spacing w:line="360" w:lineRule="auto"/>
        <w:ind w:left="360"/>
        <w:jc w:val="both"/>
        <w:rPr>
          <w:rFonts w:ascii="Tahoma" w:hAnsi="Tahoma" w:cs="Tahoma"/>
          <w:color w:val="1A1A1A"/>
          <w:sz w:val="23"/>
          <w:szCs w:val="23"/>
          <w:lang w:eastAsia="pt-BR"/>
        </w:rPr>
      </w:pPr>
    </w:p>
    <w:p w:rsidR="00F865A7" w:rsidRPr="003425D9" w:rsidRDefault="00F865A7" w:rsidP="00F865A7">
      <w:pPr>
        <w:spacing w:line="360" w:lineRule="auto"/>
        <w:ind w:left="360"/>
        <w:jc w:val="both"/>
        <w:rPr>
          <w:rFonts w:ascii="Tahoma" w:hAnsi="Tahoma" w:cs="Tahoma"/>
          <w:b/>
          <w:color w:val="1A1A1A"/>
          <w:sz w:val="23"/>
          <w:szCs w:val="23"/>
          <w:lang w:eastAsia="pt-BR"/>
        </w:rPr>
      </w:pPr>
      <w:r w:rsidRPr="0006332B">
        <w:rPr>
          <w:rFonts w:ascii="Tahoma" w:hAnsi="Tahoma" w:cs="Tahoma"/>
          <w:color w:val="1A1A1A"/>
          <w:sz w:val="23"/>
          <w:szCs w:val="23"/>
          <w:lang w:eastAsia="pt-BR"/>
        </w:rPr>
        <w:t xml:space="preserve"> Destacou o relator, ainda, que o art. 6º do Decreto nº 6.204, de 2007, ao impor à administração o dever de realizar procedimento licitatório destinado exclusivamente à participação de microempresas e empresas de pequeno porte nas contratações cujo valor seja de até R$ 80.000,00 (oitenta mil reais), </w:t>
      </w:r>
      <w:r w:rsidRPr="003425D9">
        <w:rPr>
          <w:rFonts w:ascii="Tahoma" w:hAnsi="Tahoma" w:cs="Tahoma"/>
          <w:b/>
          <w:color w:val="1A1A1A"/>
          <w:sz w:val="23"/>
          <w:szCs w:val="23"/>
          <w:lang w:eastAsia="pt-BR"/>
        </w:rPr>
        <w:t>“</w:t>
      </w:r>
      <w:r w:rsidRPr="003425D9">
        <w:rPr>
          <w:rFonts w:ascii="Tahoma" w:hAnsi="Tahoma" w:cs="Tahoma"/>
          <w:b/>
          <w:iCs/>
          <w:color w:val="1A1A1A"/>
          <w:sz w:val="23"/>
          <w:szCs w:val="23"/>
          <w:lang w:eastAsia="pt-BR"/>
        </w:rPr>
        <w:t>teria ido além do previsto no art. 48, inciso I, da Lei nº 123, de 2006</w:t>
      </w:r>
      <w:r w:rsidRPr="003425D9">
        <w:rPr>
          <w:rFonts w:ascii="Tahoma" w:hAnsi="Tahoma" w:cs="Tahoma"/>
          <w:b/>
          <w:color w:val="1A1A1A"/>
          <w:sz w:val="23"/>
          <w:szCs w:val="23"/>
          <w:lang w:eastAsia="pt-BR"/>
        </w:rPr>
        <w:t xml:space="preserve">”. </w:t>
      </w:r>
    </w:p>
    <w:p w:rsidR="00F865A7" w:rsidRDefault="00F865A7" w:rsidP="001172C4">
      <w:pPr>
        <w:spacing w:after="0" w:line="360" w:lineRule="auto"/>
        <w:ind w:left="357"/>
        <w:jc w:val="both"/>
        <w:rPr>
          <w:rFonts w:ascii="Tahoma" w:hAnsi="Tahoma" w:cs="Tahoma"/>
          <w:color w:val="1A1A1A"/>
          <w:sz w:val="23"/>
          <w:szCs w:val="23"/>
          <w:lang w:eastAsia="pt-BR"/>
        </w:rPr>
      </w:pPr>
    </w:p>
    <w:p w:rsidR="00F865A7" w:rsidRDefault="00F865A7" w:rsidP="00F865A7">
      <w:pPr>
        <w:spacing w:line="360" w:lineRule="auto"/>
        <w:ind w:left="360"/>
        <w:jc w:val="both"/>
        <w:rPr>
          <w:rFonts w:ascii="Tahoma" w:hAnsi="Tahoma" w:cs="Tahoma"/>
          <w:color w:val="1A1A1A"/>
          <w:sz w:val="23"/>
          <w:szCs w:val="23"/>
          <w:lang w:eastAsia="pt-BR"/>
        </w:rPr>
      </w:pPr>
      <w:r w:rsidRPr="0006332B">
        <w:rPr>
          <w:rFonts w:ascii="Tahoma" w:hAnsi="Tahoma" w:cs="Tahoma"/>
          <w:color w:val="1A1A1A"/>
          <w:sz w:val="23"/>
          <w:szCs w:val="23"/>
          <w:lang w:eastAsia="pt-BR"/>
        </w:rPr>
        <w:t>Concluiu, por isso, que essas licitações não necessariamente devem, mas sim “</w:t>
      </w:r>
      <w:r w:rsidRPr="0006332B">
        <w:rPr>
          <w:rFonts w:ascii="Tahoma" w:hAnsi="Tahoma" w:cs="Tahoma"/>
          <w:iCs/>
          <w:color w:val="1A1A1A"/>
          <w:sz w:val="23"/>
          <w:szCs w:val="23"/>
          <w:lang w:eastAsia="pt-BR"/>
        </w:rPr>
        <w:t>podem ser destinadas à contratação exclusiva de Microempresas e Empresas de Pequeno Porte</w:t>
      </w:r>
      <w:r w:rsidRPr="0006332B">
        <w:rPr>
          <w:rFonts w:ascii="Tahoma" w:hAnsi="Tahoma" w:cs="Tahoma"/>
          <w:color w:val="1A1A1A"/>
          <w:sz w:val="23"/>
          <w:szCs w:val="23"/>
          <w:lang w:eastAsia="pt-BR"/>
        </w:rPr>
        <w:t xml:space="preserve">”. Em face dessas conclusões, ao acatar proposta do relator, o Plenário decidiu aprovar, em resposta aos quesitos acima formulados, a seguinte resposta: </w:t>
      </w:r>
    </w:p>
    <w:p w:rsidR="00F865A7" w:rsidRPr="00851FE5" w:rsidRDefault="00F865A7" w:rsidP="00851FE5">
      <w:pPr>
        <w:spacing w:line="360" w:lineRule="auto"/>
        <w:ind w:left="360"/>
        <w:jc w:val="both"/>
        <w:rPr>
          <w:rFonts w:ascii="Tahoma" w:hAnsi="Tahoma" w:cs="Tahoma"/>
          <w:iCs/>
          <w:color w:val="1A1A1A"/>
          <w:sz w:val="23"/>
          <w:szCs w:val="23"/>
          <w:lang w:eastAsia="pt-BR"/>
        </w:rPr>
      </w:pPr>
      <w:r w:rsidRPr="0006332B">
        <w:rPr>
          <w:rFonts w:ascii="Tahoma" w:hAnsi="Tahoma" w:cs="Tahoma"/>
          <w:color w:val="1A1A1A"/>
          <w:sz w:val="23"/>
          <w:szCs w:val="23"/>
          <w:lang w:eastAsia="pt-BR"/>
        </w:rPr>
        <w:t>“</w:t>
      </w:r>
      <w:r w:rsidRPr="0006332B">
        <w:rPr>
          <w:rFonts w:ascii="Tahoma" w:hAnsi="Tahoma" w:cs="Tahoma"/>
          <w:iCs/>
          <w:color w:val="1A1A1A"/>
          <w:sz w:val="23"/>
          <w:szCs w:val="23"/>
          <w:lang w:eastAsia="pt-BR"/>
        </w:rPr>
        <w:t xml:space="preserve">9.2.2. as licitações processadas por meio do Sistema de Registro de Preços, cujo valor estimado seja igual ou inferior a R$ 80.000,00, </w:t>
      </w:r>
      <w:r w:rsidRPr="003425D9">
        <w:rPr>
          <w:rFonts w:ascii="Tahoma" w:hAnsi="Tahoma" w:cs="Tahoma"/>
          <w:b/>
          <w:iCs/>
          <w:color w:val="1A1A1A"/>
          <w:sz w:val="23"/>
          <w:szCs w:val="23"/>
          <w:lang w:eastAsia="pt-BR"/>
        </w:rPr>
        <w:t>podem ser destinadas à contratação</w:t>
      </w:r>
      <w:r w:rsidRPr="0006332B">
        <w:rPr>
          <w:rFonts w:ascii="Tahoma" w:hAnsi="Tahoma" w:cs="Tahoma"/>
          <w:iCs/>
          <w:color w:val="1A1A1A"/>
          <w:sz w:val="23"/>
          <w:szCs w:val="23"/>
          <w:lang w:eastAsia="pt-BR"/>
        </w:rPr>
        <w:t xml:space="preserve"> </w:t>
      </w:r>
      <w:r w:rsidRPr="003425D9">
        <w:rPr>
          <w:rFonts w:ascii="Tahoma" w:hAnsi="Tahoma" w:cs="Tahoma"/>
          <w:b/>
          <w:iCs/>
          <w:color w:val="1A1A1A"/>
          <w:sz w:val="23"/>
          <w:szCs w:val="23"/>
          <w:lang w:eastAsia="pt-BR"/>
        </w:rPr>
        <w:t>exclusiva de Microempresas e Empresas de Pequeno Porte</w:t>
      </w:r>
      <w:r w:rsidRPr="0006332B">
        <w:rPr>
          <w:rFonts w:ascii="Tahoma" w:hAnsi="Tahoma" w:cs="Tahoma"/>
          <w:iCs/>
          <w:color w:val="1A1A1A"/>
          <w:sz w:val="23"/>
          <w:szCs w:val="23"/>
          <w:lang w:eastAsia="pt-BR"/>
        </w:rPr>
        <w:t xml:space="preserve">, competindo ao órgão que gerencia a Ata de Registro de Preços autorizar a adesão à referida ata, desde que cumpridas as condições estabelecidas no art. 8º do Decreto nº 3.931, de 2001, </w:t>
      </w:r>
      <w:r w:rsidRPr="00851FE5">
        <w:rPr>
          <w:rFonts w:ascii="Tahoma" w:hAnsi="Tahoma" w:cs="Tahoma"/>
          <w:b/>
          <w:iCs/>
          <w:color w:val="943634" w:themeColor="accent2" w:themeShade="BF"/>
          <w:sz w:val="23"/>
          <w:szCs w:val="23"/>
          <w:lang w:eastAsia="pt-BR"/>
        </w:rPr>
        <w:t>e respeitado, no somatório de todas as contratações, aí incluídas tanto as realizadas pelos patrocinadores da ata quanto as promovidas pelos aderentes, o limite máximo de R$ 80.000,00 em cada item da licitação</w:t>
      </w:r>
      <w:r w:rsidRPr="0006332B">
        <w:rPr>
          <w:rFonts w:ascii="Tahoma" w:hAnsi="Tahoma" w:cs="Tahoma"/>
          <w:color w:val="1A1A1A"/>
          <w:sz w:val="23"/>
          <w:szCs w:val="23"/>
          <w:lang w:eastAsia="pt-BR"/>
        </w:rPr>
        <w:t xml:space="preserve">;”. </w:t>
      </w:r>
      <w:r w:rsidRPr="0006332B">
        <w:rPr>
          <w:rFonts w:ascii="Tahoma" w:hAnsi="Tahoma" w:cs="Tahoma"/>
          <w:b/>
          <w:bCs/>
          <w:iCs/>
          <w:color w:val="1A1A1A"/>
          <w:sz w:val="23"/>
          <w:szCs w:val="23"/>
          <w:lang w:eastAsia="pt-BR"/>
        </w:rPr>
        <w:t>Acórdão n.º 2957/2011-Plenário, TC-</w:t>
      </w:r>
      <w:hyperlink r:id="rId9" w:history="1">
        <w:r w:rsidRPr="0006332B">
          <w:rPr>
            <w:rFonts w:ascii="Tahoma" w:hAnsi="Tahoma" w:cs="Tahoma"/>
            <w:b/>
            <w:bCs/>
            <w:iCs/>
            <w:color w:val="1B48B7"/>
            <w:sz w:val="23"/>
            <w:szCs w:val="23"/>
            <w:u w:val="single" w:color="1B48B7"/>
            <w:lang w:eastAsia="pt-BR"/>
          </w:rPr>
          <w:t>017.752/2011-6</w:t>
        </w:r>
      </w:hyperlink>
      <w:r w:rsidRPr="0006332B">
        <w:rPr>
          <w:rFonts w:ascii="Tahoma" w:hAnsi="Tahoma" w:cs="Tahoma"/>
          <w:b/>
          <w:bCs/>
          <w:iCs/>
          <w:color w:val="1A1A1A"/>
          <w:sz w:val="23"/>
          <w:szCs w:val="23"/>
          <w:lang w:eastAsia="pt-BR"/>
        </w:rPr>
        <w:t>, rel. Min. André Luís de Carvalho, 9.11.2011.</w:t>
      </w:r>
    </w:p>
    <w:p w:rsidR="001172C4" w:rsidRDefault="001172C4" w:rsidP="00851FE5">
      <w:pPr>
        <w:rPr>
          <w:rFonts w:ascii="Tahoma" w:hAnsi="Tahoma" w:cs="Tahoma"/>
          <w:b/>
          <w:sz w:val="26"/>
          <w:szCs w:val="26"/>
        </w:rPr>
      </w:pPr>
    </w:p>
    <w:p w:rsidR="00851FE5" w:rsidRDefault="00851FE5" w:rsidP="00851FE5">
      <w:pPr>
        <w:spacing w:after="0" w:line="240" w:lineRule="auto"/>
        <w:jc w:val="center"/>
        <w:rPr>
          <w:rFonts w:ascii="Tahoma" w:hAnsi="Tahoma" w:cs="Tahoma"/>
          <w:b/>
          <w:sz w:val="26"/>
          <w:szCs w:val="26"/>
        </w:rPr>
      </w:pPr>
    </w:p>
    <w:p w:rsidR="00851FE5" w:rsidRPr="00851FE5" w:rsidRDefault="001172C4" w:rsidP="00851FE5">
      <w:pPr>
        <w:jc w:val="center"/>
        <w:rPr>
          <w:rFonts w:ascii="Tahoma" w:hAnsi="Tahoma" w:cs="Tahoma"/>
          <w:b/>
          <w:sz w:val="26"/>
          <w:szCs w:val="26"/>
        </w:rPr>
      </w:pPr>
      <w:r w:rsidRPr="00FB52A6">
        <w:rPr>
          <w:rFonts w:ascii="Tahoma" w:hAnsi="Tahoma" w:cs="Tahoma"/>
          <w:b/>
          <w:sz w:val="26"/>
          <w:szCs w:val="26"/>
        </w:rPr>
        <w:t>Adesão Vertical</w:t>
      </w:r>
    </w:p>
    <w:p w:rsidR="001172C4" w:rsidRDefault="00851FE5" w:rsidP="00851FE5">
      <w:pPr>
        <w:spacing w:before="480" w:line="360" w:lineRule="auto"/>
        <w:jc w:val="both"/>
        <w:rPr>
          <w:rFonts w:ascii="Tahoma" w:hAnsi="Tahoma" w:cs="Tahoma"/>
          <w:b/>
          <w:bCs/>
          <w:iCs/>
          <w:color w:val="1A1A1A"/>
          <w:sz w:val="23"/>
          <w:szCs w:val="23"/>
          <w:lang w:eastAsia="pt-BR"/>
        </w:rPr>
      </w:pPr>
      <w:r w:rsidRPr="00851FE5">
        <w:rPr>
          <w:rFonts w:ascii="Tahoma" w:hAnsi="Tahoma" w:cs="Tahoma"/>
          <w:b/>
          <w:bCs/>
          <w:iCs/>
          <w:color w:val="1A1A1A"/>
          <w:sz w:val="23"/>
          <w:szCs w:val="23"/>
          <w:lang w:eastAsia="pt-BR"/>
        </w:rPr>
        <w:t xml:space="preserve">3625 2011 </w:t>
      </w:r>
      <w:r>
        <w:rPr>
          <w:rFonts w:ascii="Tahoma" w:hAnsi="Tahoma" w:cs="Tahoma"/>
          <w:b/>
          <w:bCs/>
          <w:iCs/>
          <w:color w:val="1A1A1A"/>
          <w:sz w:val="23"/>
          <w:szCs w:val="23"/>
          <w:lang w:eastAsia="pt-BR"/>
        </w:rPr>
        <w:t>2</w:t>
      </w:r>
      <w:r w:rsidRPr="00851FE5">
        <w:rPr>
          <w:rFonts w:ascii="Tahoma" w:hAnsi="Tahoma" w:cs="Tahoma"/>
          <w:b/>
          <w:bCs/>
          <w:iCs/>
          <w:color w:val="1A1A1A"/>
          <w:sz w:val="23"/>
          <w:szCs w:val="23"/>
          <w:vertAlign w:val="superscript"/>
          <w:lang w:eastAsia="pt-BR"/>
        </w:rPr>
        <w:t>a</w:t>
      </w:r>
      <w:r>
        <w:rPr>
          <w:rFonts w:ascii="Tahoma" w:hAnsi="Tahoma" w:cs="Tahoma"/>
          <w:b/>
          <w:bCs/>
          <w:iCs/>
          <w:color w:val="1A1A1A"/>
          <w:sz w:val="23"/>
          <w:szCs w:val="23"/>
          <w:lang w:eastAsia="pt-BR"/>
        </w:rPr>
        <w:t xml:space="preserve"> Câmara </w:t>
      </w:r>
      <w:proofErr w:type="spellStart"/>
      <w:r w:rsidRPr="00851FE5">
        <w:rPr>
          <w:rFonts w:ascii="Tahoma" w:hAnsi="Tahoma" w:cs="Tahoma"/>
          <w:b/>
          <w:bCs/>
          <w:iCs/>
          <w:color w:val="1A1A1A"/>
          <w:sz w:val="23"/>
          <w:szCs w:val="23"/>
          <w:lang w:eastAsia="pt-BR"/>
        </w:rPr>
        <w:t>Adesão</w:t>
      </w:r>
      <w:proofErr w:type="spellEnd"/>
      <w:r w:rsidRPr="00851FE5">
        <w:rPr>
          <w:rFonts w:ascii="Tahoma" w:hAnsi="Tahoma" w:cs="Tahoma"/>
          <w:b/>
          <w:bCs/>
          <w:iCs/>
          <w:color w:val="1A1A1A"/>
          <w:sz w:val="23"/>
          <w:szCs w:val="23"/>
          <w:lang w:eastAsia="pt-BR"/>
        </w:rPr>
        <w:t xml:space="preserve"> Vertical </w:t>
      </w:r>
    </w:p>
    <w:p w:rsidR="001172C4" w:rsidRDefault="001172C4" w:rsidP="00A85B31">
      <w:pPr>
        <w:spacing w:line="360" w:lineRule="auto"/>
        <w:jc w:val="both"/>
        <w:rPr>
          <w:rFonts w:ascii="Tahoma" w:hAnsi="Tahoma" w:cs="Tahoma"/>
          <w:b/>
          <w:bCs/>
          <w:iCs/>
          <w:color w:val="1A1A1A"/>
          <w:sz w:val="23"/>
          <w:szCs w:val="23"/>
          <w:lang w:eastAsia="pt-BR"/>
        </w:rPr>
      </w:pPr>
      <w:r>
        <w:rPr>
          <w:rFonts w:ascii="Tahoma" w:hAnsi="Tahoma" w:cs="Tahoma"/>
          <w:noProof/>
          <w:lang w:val="en-US"/>
        </w:rPr>
        <w:drawing>
          <wp:inline distT="0" distB="0" distL="0" distR="0" wp14:anchorId="34865451" wp14:editId="205D865D">
            <wp:extent cx="5939552" cy="5146675"/>
            <wp:effectExtent l="0" t="0" r="444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779" cy="5147738"/>
                    </a:xfrm>
                    <a:prstGeom prst="rect">
                      <a:avLst/>
                    </a:prstGeom>
                    <a:noFill/>
                    <a:ln>
                      <a:noFill/>
                    </a:ln>
                  </pic:spPr>
                </pic:pic>
              </a:graphicData>
            </a:graphic>
          </wp:inline>
        </w:drawing>
      </w:r>
    </w:p>
    <w:p w:rsidR="00851FE5" w:rsidRPr="00851FE5" w:rsidRDefault="00851FE5" w:rsidP="00851FE5">
      <w:pPr>
        <w:spacing w:line="360" w:lineRule="auto"/>
        <w:jc w:val="both"/>
        <w:rPr>
          <w:rFonts w:ascii="Tahoma" w:hAnsi="Tahoma" w:cs="Tahoma"/>
          <w:b/>
          <w:bCs/>
          <w:iCs/>
          <w:color w:val="1A1A1A"/>
          <w:sz w:val="23"/>
          <w:szCs w:val="23"/>
          <w:lang w:eastAsia="pt-BR"/>
        </w:rPr>
      </w:pPr>
      <w:r>
        <w:rPr>
          <w:rFonts w:ascii="Tahoma" w:hAnsi="Tahoma" w:cs="Tahoma"/>
          <w:b/>
          <w:bCs/>
          <w:iCs/>
          <w:color w:val="1A1A1A"/>
          <w:sz w:val="23"/>
          <w:szCs w:val="23"/>
          <w:lang w:eastAsia="pt-BR"/>
        </w:rPr>
        <w:t xml:space="preserve">   Acórdão TCU </w:t>
      </w:r>
      <w:r w:rsidRPr="00851FE5">
        <w:rPr>
          <w:rFonts w:ascii="Tahoma" w:hAnsi="Tahoma" w:cs="Tahoma"/>
          <w:b/>
          <w:bCs/>
          <w:iCs/>
          <w:color w:val="1A1A1A"/>
          <w:sz w:val="23"/>
          <w:szCs w:val="23"/>
          <w:lang w:eastAsia="pt-BR"/>
        </w:rPr>
        <w:t xml:space="preserve">2957 2011 </w:t>
      </w:r>
      <w:proofErr w:type="spellStart"/>
      <w:r w:rsidRPr="00851FE5">
        <w:rPr>
          <w:rFonts w:ascii="Tahoma" w:hAnsi="Tahoma" w:cs="Tahoma"/>
          <w:b/>
          <w:bCs/>
          <w:iCs/>
          <w:color w:val="1A1A1A"/>
          <w:sz w:val="23"/>
          <w:szCs w:val="23"/>
          <w:lang w:eastAsia="pt-BR"/>
        </w:rPr>
        <w:t>Plenário</w:t>
      </w:r>
      <w:proofErr w:type="spellEnd"/>
      <w:r w:rsidRPr="00851FE5">
        <w:rPr>
          <w:rFonts w:ascii="Tahoma" w:hAnsi="Tahoma" w:cs="Tahoma"/>
          <w:b/>
          <w:bCs/>
          <w:iCs/>
          <w:color w:val="1A1A1A"/>
          <w:sz w:val="23"/>
          <w:szCs w:val="23"/>
          <w:lang w:eastAsia="pt-BR"/>
        </w:rPr>
        <w:t xml:space="preserve"> </w:t>
      </w:r>
      <w:r>
        <w:rPr>
          <w:rFonts w:ascii="Tahoma" w:hAnsi="Tahoma" w:cs="Tahoma"/>
          <w:b/>
          <w:bCs/>
          <w:iCs/>
          <w:color w:val="1A1A1A"/>
          <w:sz w:val="23"/>
          <w:szCs w:val="23"/>
          <w:lang w:eastAsia="pt-BR"/>
        </w:rPr>
        <w:t xml:space="preserve">Adesão </w:t>
      </w:r>
      <w:r w:rsidRPr="00851FE5">
        <w:rPr>
          <w:rFonts w:ascii="Tahoma" w:hAnsi="Tahoma" w:cs="Tahoma"/>
          <w:b/>
          <w:bCs/>
          <w:iCs/>
          <w:color w:val="1A1A1A"/>
          <w:sz w:val="23"/>
          <w:szCs w:val="23"/>
          <w:lang w:eastAsia="pt-BR"/>
        </w:rPr>
        <w:t>Vertical e ME EPP</w:t>
      </w:r>
      <w:r>
        <w:rPr>
          <w:rFonts w:ascii="Tahoma" w:hAnsi="Tahoma" w:cs="Tahoma"/>
          <w:b/>
          <w:bCs/>
          <w:iCs/>
          <w:color w:val="1A1A1A"/>
          <w:sz w:val="23"/>
          <w:szCs w:val="23"/>
          <w:lang w:eastAsia="pt-BR"/>
        </w:rPr>
        <w:t xml:space="preserve"> </w:t>
      </w:r>
      <w:r w:rsidR="004E6870">
        <w:rPr>
          <w:rFonts w:ascii="Tahoma" w:hAnsi="Tahoma" w:cs="Tahoma"/>
          <w:b/>
          <w:bCs/>
          <w:iCs/>
          <w:color w:val="1A1A1A"/>
          <w:sz w:val="23"/>
          <w:szCs w:val="23"/>
          <w:lang w:eastAsia="pt-BR"/>
        </w:rPr>
        <w:t xml:space="preserve">citado </w:t>
      </w:r>
    </w:p>
    <w:p w:rsidR="001172C4" w:rsidRDefault="001172C4" w:rsidP="00A85B31">
      <w:pPr>
        <w:spacing w:line="360" w:lineRule="auto"/>
        <w:jc w:val="both"/>
        <w:rPr>
          <w:rFonts w:ascii="Tahoma" w:hAnsi="Tahoma" w:cs="Tahoma"/>
          <w:b/>
          <w:bCs/>
          <w:iCs/>
          <w:color w:val="1A1A1A"/>
          <w:sz w:val="23"/>
          <w:szCs w:val="23"/>
          <w:lang w:eastAsia="pt-BR"/>
        </w:rPr>
      </w:pPr>
    </w:p>
    <w:p w:rsidR="00851FE5" w:rsidRDefault="00851FE5" w:rsidP="00DE6198">
      <w:pPr>
        <w:spacing w:before="80" w:line="360" w:lineRule="auto"/>
        <w:jc w:val="both"/>
        <w:rPr>
          <w:rFonts w:ascii="Tahoma" w:hAnsi="Tahoma" w:cs="Tahoma"/>
          <w:b/>
          <w:color w:val="000000" w:themeColor="text1"/>
          <w:sz w:val="23"/>
          <w:szCs w:val="23"/>
        </w:rPr>
      </w:pPr>
    </w:p>
    <w:p w:rsidR="00851FE5" w:rsidRDefault="00851FE5" w:rsidP="00DE6198">
      <w:pPr>
        <w:spacing w:before="80" w:line="360" w:lineRule="auto"/>
        <w:jc w:val="both"/>
        <w:rPr>
          <w:rFonts w:ascii="Tahoma" w:hAnsi="Tahoma" w:cs="Tahoma"/>
          <w:b/>
          <w:color w:val="000000" w:themeColor="text1"/>
          <w:sz w:val="23"/>
          <w:szCs w:val="23"/>
        </w:rPr>
      </w:pPr>
      <w:r>
        <w:rPr>
          <w:rFonts w:ascii="Tahoma" w:hAnsi="Tahoma" w:cs="Tahoma"/>
          <w:b/>
          <w:color w:val="000000" w:themeColor="text1"/>
          <w:sz w:val="23"/>
          <w:szCs w:val="23"/>
        </w:rPr>
        <w:t>Acórdão 991/2009 Plená</w:t>
      </w:r>
      <w:r w:rsidR="004E6870">
        <w:rPr>
          <w:rFonts w:ascii="Tahoma" w:hAnsi="Tahoma" w:cs="Tahoma"/>
          <w:b/>
          <w:color w:val="000000" w:themeColor="text1"/>
          <w:sz w:val="23"/>
          <w:szCs w:val="23"/>
        </w:rPr>
        <w:t>rio</w:t>
      </w:r>
    </w:p>
    <w:tbl>
      <w:tblPr>
        <w:tblW w:w="23620" w:type="dxa"/>
        <w:tblBorders>
          <w:top w:val="nil"/>
          <w:left w:val="nil"/>
          <w:right w:val="nil"/>
        </w:tblBorders>
        <w:tblLayout w:type="fixed"/>
        <w:tblLook w:val="0000" w:firstRow="0" w:lastRow="0" w:firstColumn="0" w:lastColumn="0" w:noHBand="0" w:noVBand="0"/>
      </w:tblPr>
      <w:tblGrid>
        <w:gridCol w:w="23620"/>
      </w:tblGrid>
      <w:tr w:rsidR="004E6870" w:rsidRPr="005A40DA" w:rsidTr="004E6870">
        <w:tblPrEx>
          <w:tblCellMar>
            <w:top w:w="0" w:type="dxa"/>
            <w:bottom w:w="0" w:type="dxa"/>
          </w:tblCellMar>
        </w:tblPrEx>
        <w:tc>
          <w:tcPr>
            <w:tcW w:w="23620" w:type="dxa"/>
            <w:vAlign w:val="center"/>
          </w:tcPr>
          <w:p w:rsidR="004E6870" w:rsidRPr="005A40DA" w:rsidRDefault="004E6870" w:rsidP="004E6870">
            <w:pPr>
              <w:widowControl w:val="0"/>
              <w:autoSpaceDE w:val="0"/>
              <w:autoSpaceDN w:val="0"/>
              <w:adjustRightInd w:val="0"/>
              <w:jc w:val="both"/>
              <w:rPr>
                <w:rFonts w:ascii="Tahoma" w:hAnsi="Tahoma" w:cs="Tahoma"/>
                <w:sz w:val="23"/>
                <w:szCs w:val="23"/>
              </w:rPr>
            </w:pPr>
            <w:r w:rsidRPr="005A40DA">
              <w:rPr>
                <w:rFonts w:ascii="Tahoma" w:hAnsi="Tahoma" w:cs="Tahoma"/>
                <w:noProof/>
                <w:color w:val="0023F2"/>
                <w:sz w:val="23"/>
                <w:szCs w:val="23"/>
              </w:rPr>
              <w:drawing>
                <wp:inline distT="0" distB="0" distL="0" distR="0" wp14:anchorId="193C19B3" wp14:editId="31B2A70B">
                  <wp:extent cx="254000" cy="17780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p>
          <w:p w:rsidR="004E6870" w:rsidRPr="005A40DA" w:rsidRDefault="004E6870" w:rsidP="004E6870">
            <w:pPr>
              <w:widowControl w:val="0"/>
              <w:autoSpaceDE w:val="0"/>
              <w:autoSpaceDN w:val="0"/>
              <w:adjustRightInd w:val="0"/>
              <w:jc w:val="both"/>
              <w:rPr>
                <w:rFonts w:ascii="Tahoma" w:hAnsi="Tahoma" w:cs="Tahoma"/>
                <w:sz w:val="23"/>
                <w:szCs w:val="23"/>
              </w:rPr>
            </w:pPr>
            <w:r w:rsidRPr="005A40DA">
              <w:rPr>
                <w:rFonts w:ascii="Tahoma" w:hAnsi="Tahoma" w:cs="Tahoma"/>
                <w:b/>
                <w:bCs/>
                <w:sz w:val="23"/>
                <w:szCs w:val="23"/>
              </w:rPr>
              <w:t>Natureza</w:t>
            </w:r>
            <w:r>
              <w:rPr>
                <w:rFonts w:ascii="Tahoma" w:hAnsi="Tahoma" w:cs="Tahoma"/>
                <w:sz w:val="23"/>
                <w:szCs w:val="23"/>
              </w:rPr>
              <w:t xml:space="preserve">        </w:t>
            </w:r>
            <w:r w:rsidRPr="005A40DA">
              <w:rPr>
                <w:rFonts w:ascii="Tahoma" w:hAnsi="Tahoma" w:cs="Tahoma"/>
                <w:sz w:val="23"/>
                <w:szCs w:val="23"/>
              </w:rPr>
              <w:t>Consulta</w:t>
            </w:r>
          </w:p>
          <w:p w:rsidR="004E6870" w:rsidRPr="005A40DA" w:rsidRDefault="004E6870" w:rsidP="004E6870">
            <w:pPr>
              <w:widowControl w:val="0"/>
              <w:autoSpaceDE w:val="0"/>
              <w:autoSpaceDN w:val="0"/>
              <w:adjustRightInd w:val="0"/>
              <w:jc w:val="both"/>
              <w:rPr>
                <w:rFonts w:ascii="Tahoma" w:hAnsi="Tahoma" w:cs="Tahoma"/>
                <w:sz w:val="23"/>
                <w:szCs w:val="23"/>
              </w:rPr>
            </w:pPr>
            <w:r w:rsidRPr="005A40DA">
              <w:rPr>
                <w:rFonts w:ascii="Tahoma" w:hAnsi="Tahoma" w:cs="Tahoma"/>
                <w:b/>
                <w:bCs/>
                <w:sz w:val="23"/>
                <w:szCs w:val="23"/>
              </w:rPr>
              <w:t>Entidad</w:t>
            </w:r>
            <w:r>
              <w:rPr>
                <w:rFonts w:ascii="Tahoma" w:hAnsi="Tahoma" w:cs="Tahoma"/>
                <w:b/>
                <w:bCs/>
                <w:sz w:val="23"/>
                <w:szCs w:val="23"/>
              </w:rPr>
              <w:t xml:space="preserve">e        </w:t>
            </w:r>
            <w:r w:rsidRPr="005A40DA">
              <w:rPr>
                <w:rFonts w:ascii="Tahoma" w:hAnsi="Tahoma" w:cs="Tahoma"/>
                <w:sz w:val="23"/>
                <w:szCs w:val="23"/>
              </w:rPr>
              <w:t>Órgão: Ministério da Saúde</w:t>
            </w:r>
          </w:p>
          <w:p w:rsidR="004E6870" w:rsidRPr="005A40DA" w:rsidRDefault="004E6870" w:rsidP="004E6870">
            <w:pPr>
              <w:widowControl w:val="0"/>
              <w:autoSpaceDE w:val="0"/>
              <w:autoSpaceDN w:val="0"/>
              <w:adjustRightInd w:val="0"/>
              <w:jc w:val="both"/>
              <w:rPr>
                <w:rFonts w:ascii="Tahoma" w:hAnsi="Tahoma" w:cs="Tahoma"/>
                <w:sz w:val="23"/>
                <w:szCs w:val="23"/>
              </w:rPr>
            </w:pPr>
            <w:r w:rsidRPr="005A40DA">
              <w:rPr>
                <w:rFonts w:ascii="Tahoma" w:hAnsi="Tahoma" w:cs="Tahoma"/>
                <w:b/>
                <w:bCs/>
                <w:sz w:val="23"/>
                <w:szCs w:val="23"/>
              </w:rPr>
              <w:t>Interessados</w:t>
            </w:r>
            <w:r w:rsidRPr="005A40DA">
              <w:rPr>
                <w:rFonts w:ascii="Tahoma" w:hAnsi="Tahoma" w:cs="Tahoma"/>
                <w:sz w:val="23"/>
                <w:szCs w:val="23"/>
              </w:rPr>
              <w:t xml:space="preserve"> José Agenor Álvares da Silva (então Ministro de Estado)</w:t>
            </w:r>
          </w:p>
          <w:p w:rsidR="004E6870" w:rsidRPr="005A40DA" w:rsidRDefault="004E6870" w:rsidP="004E6870">
            <w:pPr>
              <w:widowControl w:val="0"/>
              <w:autoSpaceDE w:val="0"/>
              <w:autoSpaceDN w:val="0"/>
              <w:adjustRightInd w:val="0"/>
              <w:ind w:firstLine="1600"/>
              <w:jc w:val="both"/>
              <w:rPr>
                <w:rFonts w:ascii="Tahoma" w:hAnsi="Tahoma" w:cs="Tahoma"/>
                <w:sz w:val="23"/>
                <w:szCs w:val="23"/>
              </w:rPr>
            </w:pPr>
          </w:p>
          <w:p w:rsidR="004E6870" w:rsidRPr="005A40DA" w:rsidRDefault="004E6870" w:rsidP="004E6870">
            <w:pPr>
              <w:widowControl w:val="0"/>
              <w:autoSpaceDE w:val="0"/>
              <w:autoSpaceDN w:val="0"/>
              <w:adjustRightInd w:val="0"/>
              <w:jc w:val="both"/>
              <w:rPr>
                <w:rFonts w:ascii="Tahoma" w:hAnsi="Tahoma" w:cs="Tahoma"/>
                <w:sz w:val="23"/>
                <w:szCs w:val="23"/>
              </w:rPr>
            </w:pPr>
            <w:r w:rsidRPr="005A40DA">
              <w:rPr>
                <w:rFonts w:ascii="Tahoma" w:hAnsi="Tahoma" w:cs="Tahoma"/>
                <w:b/>
                <w:bCs/>
                <w:sz w:val="23"/>
                <w:szCs w:val="23"/>
              </w:rPr>
              <w:t>Sumário</w:t>
            </w:r>
          </w:p>
          <w:p w:rsidR="004E6870" w:rsidRPr="005A40DA" w:rsidRDefault="004E6870" w:rsidP="004E6870">
            <w:pPr>
              <w:widowControl w:val="0"/>
              <w:tabs>
                <w:tab w:val="left" w:pos="9639"/>
              </w:tabs>
              <w:autoSpaceDE w:val="0"/>
              <w:autoSpaceDN w:val="0"/>
              <w:adjustRightInd w:val="0"/>
              <w:ind w:firstLine="851"/>
              <w:jc w:val="both"/>
              <w:rPr>
                <w:rFonts w:ascii="Tahoma" w:hAnsi="Tahoma" w:cs="Tahoma"/>
                <w:sz w:val="23"/>
                <w:szCs w:val="23"/>
              </w:rPr>
            </w:pPr>
            <w:r w:rsidRPr="005A40DA">
              <w:rPr>
                <w:rFonts w:ascii="Tahoma" w:hAnsi="Tahoma" w:cs="Tahoma"/>
                <w:sz w:val="23"/>
                <w:szCs w:val="23"/>
              </w:rPr>
              <w:t xml:space="preserve">CONSULTA. INTERPRETAÇÃO DE DISPOSITIVOS DO DECRETO </w:t>
            </w:r>
          </w:p>
          <w:p w:rsidR="004E6870" w:rsidRPr="005A40DA" w:rsidRDefault="004E6870" w:rsidP="004E6870">
            <w:pPr>
              <w:widowControl w:val="0"/>
              <w:tabs>
                <w:tab w:val="left" w:pos="9639"/>
              </w:tabs>
              <w:autoSpaceDE w:val="0"/>
              <w:autoSpaceDN w:val="0"/>
              <w:adjustRightInd w:val="0"/>
              <w:ind w:firstLine="851"/>
              <w:jc w:val="both"/>
              <w:rPr>
                <w:rFonts w:ascii="Tahoma" w:hAnsi="Tahoma" w:cs="Tahoma"/>
                <w:sz w:val="23"/>
                <w:szCs w:val="23"/>
              </w:rPr>
            </w:pPr>
            <w:r w:rsidRPr="005A40DA">
              <w:rPr>
                <w:rFonts w:ascii="Tahoma" w:hAnsi="Tahoma" w:cs="Tahoma"/>
                <w:sz w:val="23"/>
                <w:szCs w:val="23"/>
              </w:rPr>
              <w:t xml:space="preserve">QUE REGULAMENTA O SISTEMA DE REGISTRO DE PREÇOS. </w:t>
            </w:r>
          </w:p>
          <w:p w:rsidR="004E6870" w:rsidRPr="005A40DA" w:rsidRDefault="004E6870" w:rsidP="004E6870">
            <w:pPr>
              <w:widowControl w:val="0"/>
              <w:tabs>
                <w:tab w:val="left" w:pos="9639"/>
              </w:tabs>
              <w:autoSpaceDE w:val="0"/>
              <w:autoSpaceDN w:val="0"/>
              <w:adjustRightInd w:val="0"/>
              <w:ind w:firstLine="851"/>
              <w:jc w:val="both"/>
              <w:rPr>
                <w:rFonts w:ascii="Tahoma" w:hAnsi="Tahoma" w:cs="Tahoma"/>
                <w:sz w:val="23"/>
                <w:szCs w:val="23"/>
              </w:rPr>
            </w:pPr>
            <w:r w:rsidRPr="005A40DA">
              <w:rPr>
                <w:rFonts w:ascii="Tahoma" w:hAnsi="Tahoma" w:cs="Tahoma"/>
                <w:sz w:val="23"/>
                <w:szCs w:val="23"/>
              </w:rPr>
              <w:t>CONHECIMENTO. RESPOSTA. ARQUIVAMENTO.</w:t>
            </w:r>
          </w:p>
          <w:p w:rsidR="004E6870" w:rsidRPr="005A40DA" w:rsidRDefault="004E6870" w:rsidP="004E6870">
            <w:pPr>
              <w:widowControl w:val="0"/>
              <w:autoSpaceDE w:val="0"/>
              <w:autoSpaceDN w:val="0"/>
              <w:adjustRightInd w:val="0"/>
              <w:ind w:firstLine="1600"/>
              <w:jc w:val="both"/>
              <w:rPr>
                <w:rFonts w:ascii="Tahoma" w:hAnsi="Tahoma" w:cs="Tahoma"/>
                <w:sz w:val="23"/>
                <w:szCs w:val="23"/>
              </w:rPr>
            </w:pPr>
          </w:p>
          <w:p w:rsidR="004E6870" w:rsidRPr="005A40DA" w:rsidRDefault="004E6870" w:rsidP="004E6870">
            <w:pPr>
              <w:pStyle w:val="ListParagraph"/>
              <w:widowControl w:val="0"/>
              <w:numPr>
                <w:ilvl w:val="0"/>
                <w:numId w:val="25"/>
              </w:numPr>
              <w:autoSpaceDE w:val="0"/>
              <w:autoSpaceDN w:val="0"/>
              <w:adjustRightInd w:val="0"/>
              <w:spacing w:before="0" w:after="0" w:line="240" w:lineRule="auto"/>
              <w:ind w:left="851"/>
              <w:jc w:val="both"/>
              <w:rPr>
                <w:rFonts w:ascii="Tahoma" w:hAnsi="Tahoma" w:cs="Tahoma"/>
                <w:sz w:val="23"/>
                <w:szCs w:val="23"/>
              </w:rPr>
            </w:pPr>
            <w:r w:rsidRPr="005A40DA">
              <w:rPr>
                <w:rFonts w:ascii="Tahoma" w:hAnsi="Tahoma" w:cs="Tahoma"/>
                <w:sz w:val="23"/>
                <w:szCs w:val="23"/>
              </w:rPr>
              <w:t xml:space="preserve">O prazo de vigência da ata de registro de preços não poderá ser superior </w:t>
            </w:r>
          </w:p>
          <w:p w:rsidR="004E6870" w:rsidRPr="005A40DA" w:rsidRDefault="004E6870" w:rsidP="004E6870">
            <w:pPr>
              <w:pStyle w:val="ListParagraph"/>
              <w:widowControl w:val="0"/>
              <w:autoSpaceDE w:val="0"/>
              <w:autoSpaceDN w:val="0"/>
              <w:adjustRightInd w:val="0"/>
              <w:ind w:left="851"/>
              <w:jc w:val="both"/>
              <w:rPr>
                <w:rFonts w:ascii="Tahoma" w:hAnsi="Tahoma" w:cs="Tahoma"/>
                <w:sz w:val="23"/>
                <w:szCs w:val="23"/>
              </w:rPr>
            </w:pPr>
            <w:r w:rsidRPr="005A40DA">
              <w:rPr>
                <w:rFonts w:ascii="Tahoma" w:hAnsi="Tahoma" w:cs="Tahoma"/>
                <w:sz w:val="23"/>
                <w:szCs w:val="23"/>
              </w:rPr>
              <w:t>a um ano, admitindo-se prorrogações, desde que ocorram dentro desse prazo.</w:t>
            </w:r>
          </w:p>
          <w:p w:rsidR="004E6870" w:rsidRPr="005A40DA" w:rsidRDefault="004E6870" w:rsidP="004E6870">
            <w:pPr>
              <w:pStyle w:val="ListParagraph"/>
              <w:widowControl w:val="0"/>
              <w:autoSpaceDE w:val="0"/>
              <w:autoSpaceDN w:val="0"/>
              <w:adjustRightInd w:val="0"/>
              <w:ind w:left="851"/>
              <w:jc w:val="both"/>
              <w:rPr>
                <w:rFonts w:ascii="Tahoma" w:hAnsi="Tahoma" w:cs="Tahoma"/>
                <w:sz w:val="23"/>
                <w:szCs w:val="23"/>
              </w:rPr>
            </w:pPr>
          </w:p>
          <w:p w:rsidR="004E6870" w:rsidRPr="005A40DA" w:rsidRDefault="004E6870" w:rsidP="004E6870">
            <w:pPr>
              <w:pStyle w:val="ListParagraph"/>
              <w:widowControl w:val="0"/>
              <w:numPr>
                <w:ilvl w:val="0"/>
                <w:numId w:val="25"/>
              </w:numPr>
              <w:autoSpaceDE w:val="0"/>
              <w:autoSpaceDN w:val="0"/>
              <w:adjustRightInd w:val="0"/>
              <w:spacing w:before="0" w:after="0" w:line="240" w:lineRule="auto"/>
              <w:ind w:left="851"/>
              <w:jc w:val="both"/>
              <w:rPr>
                <w:rFonts w:ascii="Tahoma" w:hAnsi="Tahoma" w:cs="Tahoma"/>
                <w:sz w:val="23"/>
                <w:szCs w:val="23"/>
              </w:rPr>
            </w:pPr>
            <w:r w:rsidRPr="005A40DA">
              <w:rPr>
                <w:rFonts w:ascii="Tahoma" w:hAnsi="Tahoma" w:cs="Tahoma"/>
                <w:sz w:val="23"/>
                <w:szCs w:val="23"/>
              </w:rPr>
              <w:t xml:space="preserve">No caso de eventual prorrogação da ata de registro de preços dentro do </w:t>
            </w:r>
          </w:p>
          <w:p w:rsidR="004E6870" w:rsidRPr="005A40DA" w:rsidRDefault="004E6870" w:rsidP="004E6870">
            <w:pPr>
              <w:pStyle w:val="ListParagraph"/>
              <w:widowControl w:val="0"/>
              <w:autoSpaceDE w:val="0"/>
              <w:autoSpaceDN w:val="0"/>
              <w:adjustRightInd w:val="0"/>
              <w:ind w:left="851"/>
              <w:jc w:val="both"/>
              <w:rPr>
                <w:rFonts w:ascii="Tahoma" w:hAnsi="Tahoma" w:cs="Tahoma"/>
                <w:sz w:val="23"/>
                <w:szCs w:val="23"/>
              </w:rPr>
            </w:pPr>
            <w:r w:rsidRPr="005A40DA">
              <w:rPr>
                <w:rFonts w:ascii="Tahoma" w:hAnsi="Tahoma" w:cs="Tahoma"/>
                <w:sz w:val="23"/>
                <w:szCs w:val="23"/>
              </w:rPr>
              <w:t>prazo de vigência não superior a um ano, não se restabelecem os quantitativos</w:t>
            </w:r>
          </w:p>
          <w:p w:rsidR="004E6870" w:rsidRPr="005A40DA" w:rsidRDefault="004E6870" w:rsidP="004E6870">
            <w:pPr>
              <w:pStyle w:val="ListParagraph"/>
              <w:widowControl w:val="0"/>
              <w:autoSpaceDE w:val="0"/>
              <w:autoSpaceDN w:val="0"/>
              <w:adjustRightInd w:val="0"/>
              <w:ind w:left="851"/>
              <w:jc w:val="both"/>
              <w:rPr>
                <w:rFonts w:ascii="Tahoma" w:hAnsi="Tahoma" w:cs="Tahoma"/>
                <w:sz w:val="23"/>
                <w:szCs w:val="23"/>
              </w:rPr>
            </w:pPr>
            <w:r w:rsidRPr="005A40DA">
              <w:rPr>
                <w:rFonts w:ascii="Tahoma" w:hAnsi="Tahoma" w:cs="Tahoma"/>
                <w:sz w:val="23"/>
                <w:szCs w:val="23"/>
              </w:rPr>
              <w:t xml:space="preserve">inicialmente fixados na licitação, sob pena de se infringirem os princípios que </w:t>
            </w:r>
          </w:p>
          <w:p w:rsidR="004E6870" w:rsidRPr="005A40DA" w:rsidRDefault="004E6870" w:rsidP="004E6870">
            <w:pPr>
              <w:pStyle w:val="ListParagraph"/>
              <w:widowControl w:val="0"/>
              <w:autoSpaceDE w:val="0"/>
              <w:autoSpaceDN w:val="0"/>
              <w:adjustRightInd w:val="0"/>
              <w:ind w:left="851"/>
              <w:jc w:val="both"/>
              <w:rPr>
                <w:rFonts w:ascii="Tahoma" w:hAnsi="Tahoma" w:cs="Tahoma"/>
                <w:sz w:val="23"/>
                <w:szCs w:val="23"/>
              </w:rPr>
            </w:pPr>
            <w:r w:rsidRPr="005A40DA">
              <w:rPr>
                <w:rFonts w:ascii="Tahoma" w:hAnsi="Tahoma" w:cs="Tahoma"/>
                <w:sz w:val="23"/>
                <w:szCs w:val="23"/>
              </w:rPr>
              <w:t>regem o procedimento licitatório, indicados no art. 3º da Lei nº 8.666/93</w:t>
            </w:r>
          </w:p>
          <w:p w:rsidR="004E6870" w:rsidRPr="005A40DA" w:rsidRDefault="004E6870" w:rsidP="004E6870">
            <w:pPr>
              <w:widowControl w:val="0"/>
              <w:autoSpaceDE w:val="0"/>
              <w:autoSpaceDN w:val="0"/>
              <w:adjustRightInd w:val="0"/>
              <w:ind w:firstLine="1600"/>
              <w:jc w:val="both"/>
              <w:rPr>
                <w:rFonts w:ascii="Tahoma" w:hAnsi="Tahoma" w:cs="Tahoma"/>
                <w:sz w:val="23"/>
                <w:szCs w:val="23"/>
              </w:rPr>
            </w:pPr>
          </w:p>
        </w:tc>
      </w:tr>
    </w:tbl>
    <w:p w:rsidR="004E6870" w:rsidRDefault="004E6870" w:rsidP="004E6870">
      <w:pPr>
        <w:ind w:right="-525"/>
        <w:rPr>
          <w:rFonts w:ascii="Tahoma" w:hAnsi="Tahoma" w:cs="Tahoma"/>
          <w:sz w:val="23"/>
          <w:szCs w:val="23"/>
        </w:rPr>
      </w:pPr>
    </w:p>
    <w:p w:rsidR="004E6870" w:rsidRDefault="004E6870" w:rsidP="004E6870">
      <w:pPr>
        <w:ind w:right="-525"/>
        <w:rPr>
          <w:rFonts w:ascii="Tahoma" w:hAnsi="Tahoma" w:cs="Tahoma"/>
          <w:sz w:val="23"/>
          <w:szCs w:val="23"/>
        </w:rPr>
      </w:pPr>
    </w:p>
    <w:p w:rsidR="004E6870" w:rsidRDefault="004E6870" w:rsidP="004E6870">
      <w:pPr>
        <w:ind w:right="-525"/>
        <w:rPr>
          <w:rFonts w:ascii="Tahoma" w:hAnsi="Tahoma" w:cs="Tahoma"/>
          <w:sz w:val="23"/>
          <w:szCs w:val="23"/>
        </w:rPr>
      </w:pPr>
    </w:p>
    <w:p w:rsidR="004E6870" w:rsidRDefault="004E6870" w:rsidP="004E6870">
      <w:pPr>
        <w:ind w:right="-525"/>
        <w:rPr>
          <w:rFonts w:ascii="Tahoma" w:hAnsi="Tahoma" w:cs="Tahoma"/>
          <w:sz w:val="23"/>
          <w:szCs w:val="23"/>
        </w:rPr>
      </w:pPr>
    </w:p>
    <w:p w:rsidR="004E6870" w:rsidRPr="004E6870" w:rsidRDefault="004E6870" w:rsidP="004E6870">
      <w:pPr>
        <w:ind w:right="-525"/>
        <w:rPr>
          <w:rFonts w:ascii="Tahoma" w:hAnsi="Tahoma" w:cs="Tahoma"/>
          <w:b/>
          <w:sz w:val="23"/>
          <w:szCs w:val="23"/>
        </w:rPr>
      </w:pPr>
    </w:p>
    <w:p w:rsidR="004E6870" w:rsidRPr="004E6870" w:rsidRDefault="004E6870" w:rsidP="004E6870">
      <w:pPr>
        <w:ind w:right="-525"/>
        <w:rPr>
          <w:rFonts w:ascii="Tahoma" w:hAnsi="Tahoma" w:cs="Tahoma"/>
          <w:b/>
          <w:sz w:val="23"/>
          <w:szCs w:val="23"/>
        </w:rPr>
      </w:pPr>
      <w:r w:rsidRPr="004E6870">
        <w:rPr>
          <w:rFonts w:ascii="Tahoma" w:hAnsi="Tahoma" w:cs="Tahoma"/>
          <w:b/>
          <w:sz w:val="23"/>
          <w:szCs w:val="23"/>
        </w:rPr>
        <w:t>Acórdão 1793/2011 Plenário</w:t>
      </w:r>
    </w:p>
    <w:p w:rsidR="004E6870" w:rsidRPr="004E6870" w:rsidRDefault="004E6870" w:rsidP="004E6870">
      <w:pPr>
        <w:widowControl w:val="0"/>
        <w:autoSpaceDE w:val="0"/>
        <w:autoSpaceDN w:val="0"/>
        <w:adjustRightInd w:val="0"/>
        <w:spacing w:line="340" w:lineRule="atLeast"/>
        <w:ind w:right="-427"/>
        <w:jc w:val="both"/>
        <w:rPr>
          <w:rFonts w:ascii="Tahoma" w:hAnsi="Tahoma" w:cs="Tahoma"/>
          <w:sz w:val="23"/>
          <w:szCs w:val="23"/>
          <w:lang w:eastAsia="pt-BR"/>
        </w:rPr>
      </w:pPr>
    </w:p>
    <w:p w:rsidR="004E6870" w:rsidRP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r w:rsidRPr="004E6870">
        <w:rPr>
          <w:rFonts w:ascii="Tahoma" w:hAnsi="Tahoma" w:cs="Tahoma"/>
          <w:sz w:val="23"/>
          <w:szCs w:val="23"/>
          <w:lang w:eastAsia="pt-BR"/>
        </w:rPr>
        <w:t xml:space="preserve">(...) </w:t>
      </w:r>
    </w:p>
    <w:p w:rsidR="004E6870" w:rsidRPr="004E6870" w:rsidRDefault="004E6870" w:rsidP="004E6870">
      <w:pPr>
        <w:widowControl w:val="0"/>
        <w:autoSpaceDE w:val="0"/>
        <w:autoSpaceDN w:val="0"/>
        <w:adjustRightInd w:val="0"/>
        <w:ind w:left="567" w:firstLine="567"/>
        <w:jc w:val="both"/>
        <w:rPr>
          <w:rFonts w:ascii="Tahoma" w:hAnsi="Tahoma" w:cs="Tahoma"/>
          <w:sz w:val="23"/>
          <w:szCs w:val="23"/>
        </w:rPr>
      </w:pPr>
      <w:r w:rsidRPr="004E6870">
        <w:rPr>
          <w:rFonts w:ascii="Tahoma" w:hAnsi="Tahoma" w:cs="Tahoma"/>
          <w:sz w:val="23"/>
          <w:szCs w:val="23"/>
        </w:rPr>
        <w:t xml:space="preserve">114. Na sistemática de registro de preços, o órgão gerenciador da ata e os demais participantes informam, individualmente, a quantidade do bem ou do serviço a ser adquirida. </w:t>
      </w:r>
      <w:r w:rsidRPr="004E6870">
        <w:rPr>
          <w:rFonts w:ascii="Tahoma" w:hAnsi="Tahoma" w:cs="Tahoma"/>
          <w:b/>
          <w:sz w:val="23"/>
          <w:szCs w:val="23"/>
        </w:rPr>
        <w:t>A soma dessas quantidades é registrada na ata. Por sua vez, o art. 8º, § 3º, do Decreto 3.931/2001 possibilita que os órgãos públicos que inicialmente não participaram do registro de preços ("caronas"), podem adquirir todo o quantitativo registrado na ata, ou seja, o que caracteriza uma disfunção do referido normativo. Ainda assim, o "carona" está restrito a 100% do quantitativo consignado na ata.</w:t>
      </w:r>
    </w:p>
    <w:p w:rsidR="004E6870" w:rsidRPr="004E6870" w:rsidRDefault="004E6870" w:rsidP="004E6870">
      <w:pPr>
        <w:widowControl w:val="0"/>
        <w:autoSpaceDE w:val="0"/>
        <w:autoSpaceDN w:val="0"/>
        <w:adjustRightInd w:val="0"/>
        <w:ind w:left="567" w:firstLine="567"/>
        <w:jc w:val="both"/>
        <w:rPr>
          <w:rFonts w:ascii="Tahoma" w:hAnsi="Tahoma" w:cs="Tahoma"/>
          <w:sz w:val="23"/>
          <w:szCs w:val="23"/>
        </w:rPr>
      </w:pPr>
      <w:r w:rsidRPr="004E6870">
        <w:rPr>
          <w:rFonts w:ascii="Tahoma" w:hAnsi="Tahoma" w:cs="Tahoma"/>
          <w:sz w:val="23"/>
          <w:szCs w:val="23"/>
        </w:rPr>
        <w:t xml:space="preserve">115. </w:t>
      </w:r>
      <w:r w:rsidRPr="004E6870">
        <w:rPr>
          <w:rFonts w:ascii="Tahoma" w:hAnsi="Tahoma" w:cs="Tahoma"/>
          <w:b/>
          <w:sz w:val="23"/>
          <w:szCs w:val="23"/>
        </w:rPr>
        <w:t>Dessa forma, entende-se que cada uma dessas figuras geralmente presentes em aquisições mediante registro de preços estão sujeitas ao limite estabelecido no art. 8º, §3º, do Decreto 3.931/2001.</w:t>
      </w:r>
      <w:r w:rsidRPr="004E6870">
        <w:rPr>
          <w:rFonts w:ascii="Tahoma" w:hAnsi="Tahoma" w:cs="Tahoma"/>
          <w:sz w:val="23"/>
          <w:szCs w:val="23"/>
        </w:rPr>
        <w:t xml:space="preserve"> </w:t>
      </w:r>
      <w:r>
        <w:rPr>
          <w:rFonts w:ascii="Tahoma" w:hAnsi="Tahoma" w:cs="Tahoma"/>
          <w:sz w:val="23"/>
          <w:szCs w:val="23"/>
        </w:rPr>
        <w:t xml:space="preserve">(...) </w:t>
      </w:r>
    </w:p>
    <w:p w:rsidR="004E6870" w:rsidRDefault="004E6870" w:rsidP="004E6870">
      <w:pPr>
        <w:widowControl w:val="0"/>
        <w:autoSpaceDE w:val="0"/>
        <w:autoSpaceDN w:val="0"/>
        <w:adjustRightInd w:val="0"/>
        <w:ind w:left="567" w:firstLine="567"/>
        <w:jc w:val="both"/>
        <w:rPr>
          <w:rFonts w:ascii="Tahoma" w:hAnsi="Tahoma" w:cs="Tahoma"/>
          <w:sz w:val="23"/>
          <w:szCs w:val="23"/>
        </w:rPr>
      </w:pPr>
      <w:r w:rsidRPr="004E6870">
        <w:rPr>
          <w:rFonts w:ascii="Tahoma" w:hAnsi="Tahoma" w:cs="Tahoma"/>
          <w:sz w:val="23"/>
          <w:szCs w:val="23"/>
        </w:rPr>
        <w:t xml:space="preserve">116. A título de conservadorismo, neste procedimento foram consideradas somente as contratações que excederam 125% do valor inicialmente registrado em contrato, a fim de descartar os casos em que houve acréscimo de 25% do bem ou do serviço contratado, conforme possibilita o art. 65, § 1º, da Lei de Licitações. </w:t>
      </w:r>
      <w:r>
        <w:rPr>
          <w:rFonts w:ascii="Tahoma" w:hAnsi="Tahoma" w:cs="Tahoma"/>
          <w:sz w:val="23"/>
          <w:szCs w:val="23"/>
        </w:rPr>
        <w:t>(...)</w:t>
      </w:r>
    </w:p>
    <w:p w:rsidR="004E6870" w:rsidRDefault="004E6870" w:rsidP="004E6870">
      <w:pPr>
        <w:widowControl w:val="0"/>
        <w:autoSpaceDE w:val="0"/>
        <w:autoSpaceDN w:val="0"/>
        <w:adjustRightInd w:val="0"/>
        <w:ind w:left="567" w:firstLine="567"/>
        <w:jc w:val="both"/>
        <w:rPr>
          <w:rFonts w:ascii="Tahoma" w:hAnsi="Tahoma" w:cs="Tahoma"/>
          <w:sz w:val="23"/>
          <w:szCs w:val="23"/>
        </w:rPr>
      </w:pPr>
      <w:r w:rsidRPr="004E6870">
        <w:rPr>
          <w:rFonts w:ascii="Tahoma" w:hAnsi="Tahoma" w:cs="Tahoma"/>
          <w:sz w:val="23"/>
          <w:szCs w:val="23"/>
        </w:rPr>
        <w:t>117. Tendo em vista que o arquivo contendo os dados dos contratos registrados no sistema Siasg (</w:t>
      </w:r>
      <w:proofErr w:type="spellStart"/>
      <w:r w:rsidRPr="004E6870">
        <w:rPr>
          <w:rFonts w:ascii="Tahoma" w:hAnsi="Tahoma" w:cs="Tahoma"/>
          <w:sz w:val="23"/>
          <w:szCs w:val="23"/>
        </w:rPr>
        <w:t>Sidec</w:t>
      </w:r>
      <w:proofErr w:type="spellEnd"/>
      <w:r w:rsidRPr="004E6870">
        <w:rPr>
          <w:rFonts w:ascii="Tahoma" w:hAnsi="Tahoma" w:cs="Tahoma"/>
          <w:sz w:val="23"/>
          <w:szCs w:val="23"/>
        </w:rPr>
        <w:t>-Contrato) não possui informações acerca das quantidades contratadas, decidiu-se pela utilização da base de dados de minutas de empenho que são emitidas pelo próprio sistema.</w:t>
      </w:r>
    </w:p>
    <w:p w:rsidR="004E6870" w:rsidRDefault="004E6870" w:rsidP="004E6870">
      <w:pPr>
        <w:widowControl w:val="0"/>
        <w:autoSpaceDE w:val="0"/>
        <w:autoSpaceDN w:val="0"/>
        <w:adjustRightInd w:val="0"/>
        <w:ind w:left="567" w:firstLine="567"/>
        <w:jc w:val="both"/>
        <w:rPr>
          <w:rFonts w:ascii="Tahoma" w:hAnsi="Tahoma" w:cs="Tahoma"/>
          <w:sz w:val="23"/>
          <w:szCs w:val="23"/>
        </w:rPr>
      </w:pPr>
    </w:p>
    <w:p w:rsidR="004E6870" w:rsidRDefault="004E6870" w:rsidP="004E6870">
      <w:pPr>
        <w:widowControl w:val="0"/>
        <w:autoSpaceDE w:val="0"/>
        <w:autoSpaceDN w:val="0"/>
        <w:adjustRightInd w:val="0"/>
        <w:ind w:left="567" w:firstLine="567"/>
        <w:jc w:val="both"/>
        <w:rPr>
          <w:rFonts w:ascii="Tahoma" w:hAnsi="Tahoma" w:cs="Tahoma"/>
          <w:sz w:val="23"/>
          <w:szCs w:val="23"/>
        </w:rPr>
      </w:pPr>
    </w:p>
    <w:p w:rsidR="004E6870" w:rsidRDefault="004E6870" w:rsidP="004E6870">
      <w:pPr>
        <w:widowControl w:val="0"/>
        <w:autoSpaceDE w:val="0"/>
        <w:autoSpaceDN w:val="0"/>
        <w:adjustRightInd w:val="0"/>
        <w:jc w:val="both"/>
        <w:rPr>
          <w:rFonts w:ascii="Tahoma" w:hAnsi="Tahoma" w:cs="Tahoma"/>
          <w:sz w:val="23"/>
          <w:szCs w:val="23"/>
        </w:rPr>
      </w:pP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 xml:space="preserve">121. Nesse contexto, para uma compra específica decorrente de registro de preço, o procedimento executado somou todos os valores das minutas de empenho que foram enviadas com sucesso ao Siasg por uma determinada </w:t>
      </w:r>
      <w:proofErr w:type="spellStart"/>
      <w:r w:rsidRPr="004E6870">
        <w:rPr>
          <w:rFonts w:ascii="Tahoma" w:hAnsi="Tahoma" w:cs="Tahoma"/>
          <w:sz w:val="23"/>
          <w:szCs w:val="23"/>
        </w:rPr>
        <w:t>Uasg</w:t>
      </w:r>
      <w:proofErr w:type="spellEnd"/>
      <w:r w:rsidRPr="004E6870">
        <w:rPr>
          <w:rFonts w:ascii="Tahoma" w:hAnsi="Tahoma" w:cs="Tahoma"/>
          <w:sz w:val="23"/>
          <w:szCs w:val="23"/>
        </w:rPr>
        <w:t xml:space="preserve"> e verificou se esse total superava em 25% o valor máximo estabelecido pelo Decreto 3.931/2001 (conforme descrito no parágrafo 110), calculado mediante a multiplicação entre o valor unitário e a quantidade do bem registrado na ata.</w:t>
      </w: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 xml:space="preserve">122. </w:t>
      </w:r>
      <w:r w:rsidRPr="004E6870">
        <w:rPr>
          <w:rFonts w:ascii="Tahoma" w:hAnsi="Tahoma" w:cs="Tahoma"/>
          <w:b/>
          <w:sz w:val="23"/>
          <w:szCs w:val="23"/>
        </w:rPr>
        <w:t xml:space="preserve">Como resultado, foram identificadas </w:t>
      </w:r>
      <w:r w:rsidRPr="004E6870">
        <w:rPr>
          <w:rFonts w:ascii="Tahoma" w:hAnsi="Tahoma" w:cs="Tahoma"/>
          <w:b/>
          <w:color w:val="943634" w:themeColor="accent2" w:themeShade="BF"/>
          <w:sz w:val="23"/>
          <w:szCs w:val="23"/>
        </w:rPr>
        <w:t xml:space="preserve">9.430 ocorrências cuja soma dos empenhos emitidos por </w:t>
      </w:r>
      <w:proofErr w:type="spellStart"/>
      <w:r w:rsidRPr="004E6870">
        <w:rPr>
          <w:rFonts w:ascii="Tahoma" w:hAnsi="Tahoma" w:cs="Tahoma"/>
          <w:b/>
          <w:color w:val="943634" w:themeColor="accent2" w:themeShade="BF"/>
          <w:sz w:val="23"/>
          <w:szCs w:val="23"/>
        </w:rPr>
        <w:t>Uasgs</w:t>
      </w:r>
      <w:proofErr w:type="spellEnd"/>
      <w:r w:rsidRPr="004E6870">
        <w:rPr>
          <w:rFonts w:ascii="Tahoma" w:hAnsi="Tahoma" w:cs="Tahoma"/>
          <w:b/>
          <w:color w:val="943634" w:themeColor="accent2" w:themeShade="BF"/>
          <w:sz w:val="23"/>
          <w:szCs w:val="23"/>
        </w:rPr>
        <w:t xml:space="preserve"> ultrapassou o valor máximo permitido</w:t>
      </w:r>
      <w:r w:rsidRPr="004E6870">
        <w:rPr>
          <w:rFonts w:ascii="Tahoma" w:hAnsi="Tahoma" w:cs="Tahoma"/>
          <w:b/>
          <w:sz w:val="23"/>
          <w:szCs w:val="23"/>
        </w:rPr>
        <w:t xml:space="preserve">, conforme registrado na planilha "P3_5b_Resultado_Ord_Clientela.xls", disponível no diretório "\Resultados\P3_5b" do DVD à fl.6 do anexo 15. Como exemplo, o quadro 4 (fl. 546, anexo 14, volume 2) apresenta casos de contratações acima de R$ 500.000,00 das </w:t>
      </w:r>
      <w:proofErr w:type="spellStart"/>
      <w:r w:rsidRPr="004E6870">
        <w:rPr>
          <w:rFonts w:ascii="Tahoma" w:hAnsi="Tahoma" w:cs="Tahoma"/>
          <w:b/>
          <w:sz w:val="23"/>
          <w:szCs w:val="23"/>
        </w:rPr>
        <w:t>Uasgs</w:t>
      </w:r>
      <w:proofErr w:type="spellEnd"/>
      <w:r w:rsidRPr="004E6870">
        <w:rPr>
          <w:rFonts w:ascii="Tahoma" w:hAnsi="Tahoma" w:cs="Tahoma"/>
          <w:b/>
          <w:sz w:val="23"/>
          <w:szCs w:val="23"/>
        </w:rPr>
        <w:t xml:space="preserve"> que, percentualmente, mais ultrapassaram o valor limite a ser contratado, cujas cópias de atas do pregão e de telas do Siasg, que representam os indícios de irregularidade supracitados, estão acostadas às fls. 123-176 d</w:t>
      </w:r>
      <w:bookmarkStart w:id="0" w:name="_GoBack"/>
      <w:bookmarkEnd w:id="0"/>
      <w:r w:rsidRPr="004E6870">
        <w:rPr>
          <w:rFonts w:ascii="Tahoma" w:hAnsi="Tahoma" w:cs="Tahoma"/>
          <w:b/>
          <w:sz w:val="23"/>
          <w:szCs w:val="23"/>
        </w:rPr>
        <w:t>o anexo 13.</w:t>
      </w: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Pr>
          <w:rFonts w:ascii="Tahoma" w:hAnsi="Tahoma" w:cs="Tahoma"/>
          <w:sz w:val="23"/>
          <w:szCs w:val="23"/>
        </w:rPr>
        <w:t>(...)</w:t>
      </w:r>
    </w:p>
    <w:p w:rsid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 xml:space="preserve">127. </w:t>
      </w:r>
      <w:r w:rsidRPr="004E6870">
        <w:rPr>
          <w:rFonts w:ascii="Tahoma" w:hAnsi="Tahoma" w:cs="Tahoma"/>
          <w:b/>
          <w:sz w:val="23"/>
          <w:szCs w:val="23"/>
        </w:rPr>
        <w:t xml:space="preserve">Ainda que irregular, a possibilidade prática de efetuar contratações em quantitativos superiores ao limite estabelecido no Decreto 3.931/2001 pode levar os órgãos a não se sentirem incentivados a estimar, da melhor forma possível, o quantitativo do bem/serviço necessário ao fiel atendimento de suas necessidades, de modo que o planejamento por eles executado pode tornar-se não efetivo e </w:t>
      </w:r>
      <w:r w:rsidRPr="004E6870">
        <w:rPr>
          <w:rFonts w:ascii="Tahoma" w:hAnsi="Tahoma" w:cs="Tahoma"/>
          <w:b/>
          <w:color w:val="943634" w:themeColor="accent2" w:themeShade="BF"/>
          <w:sz w:val="23"/>
          <w:szCs w:val="23"/>
        </w:rPr>
        <w:t>a Administração não ser beneficiada com possível ganho de economia de escala</w:t>
      </w:r>
      <w:r w:rsidRPr="004E6870">
        <w:rPr>
          <w:rFonts w:ascii="Tahoma" w:hAnsi="Tahoma" w:cs="Tahoma"/>
          <w:sz w:val="23"/>
          <w:szCs w:val="23"/>
        </w:rPr>
        <w:t>.</w:t>
      </w:r>
    </w:p>
    <w:p w:rsidR="004E6870" w:rsidRDefault="004E6870" w:rsidP="004E6870">
      <w:pPr>
        <w:widowControl w:val="0"/>
        <w:autoSpaceDE w:val="0"/>
        <w:autoSpaceDN w:val="0"/>
        <w:adjustRightInd w:val="0"/>
        <w:ind w:left="567" w:firstLine="1600"/>
        <w:jc w:val="both"/>
        <w:rPr>
          <w:rFonts w:ascii="Tahoma" w:hAnsi="Tahoma" w:cs="Tahoma"/>
          <w:sz w:val="23"/>
          <w:szCs w:val="23"/>
        </w:rPr>
      </w:pPr>
    </w:p>
    <w:p w:rsidR="004E6870" w:rsidRDefault="004E6870" w:rsidP="004E6870">
      <w:pPr>
        <w:widowControl w:val="0"/>
        <w:autoSpaceDE w:val="0"/>
        <w:autoSpaceDN w:val="0"/>
        <w:adjustRightInd w:val="0"/>
        <w:ind w:left="567" w:firstLine="1600"/>
        <w:jc w:val="both"/>
        <w:rPr>
          <w:rFonts w:ascii="Tahoma" w:hAnsi="Tahoma" w:cs="Tahoma"/>
          <w:sz w:val="23"/>
          <w:szCs w:val="23"/>
        </w:rPr>
      </w:pP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 xml:space="preserve">128. Quanto ao argumento da SLTI/MP de que, </w:t>
      </w:r>
      <w:r w:rsidRPr="004E6870">
        <w:rPr>
          <w:rFonts w:ascii="Tahoma" w:hAnsi="Tahoma" w:cs="Tahoma"/>
          <w:b/>
          <w:sz w:val="23"/>
          <w:szCs w:val="23"/>
        </w:rPr>
        <w:t xml:space="preserve">no caso dos órgãos "caronas", a responsabilidade pela contratação obedecendo ao limite de 100% é do próprio contratante, entende-se que procede, vez que não é plausível que o órgão central do </w:t>
      </w:r>
      <w:proofErr w:type="spellStart"/>
      <w:r w:rsidRPr="004E6870">
        <w:rPr>
          <w:rFonts w:ascii="Tahoma" w:hAnsi="Tahoma" w:cs="Tahoma"/>
          <w:b/>
          <w:sz w:val="23"/>
          <w:szCs w:val="23"/>
        </w:rPr>
        <w:t>Sisg</w:t>
      </w:r>
      <w:proofErr w:type="spellEnd"/>
      <w:r w:rsidRPr="004E6870">
        <w:rPr>
          <w:rFonts w:ascii="Tahoma" w:hAnsi="Tahoma" w:cs="Tahoma"/>
          <w:b/>
          <w:sz w:val="23"/>
          <w:szCs w:val="23"/>
        </w:rPr>
        <w:t xml:space="preserve"> monitore todas as contratações mediante SRP efetuadas por "caronas".</w:t>
      </w:r>
      <w:r w:rsidRPr="004E6870">
        <w:rPr>
          <w:rFonts w:ascii="Tahoma" w:hAnsi="Tahoma" w:cs="Tahoma"/>
          <w:sz w:val="23"/>
          <w:szCs w:val="23"/>
        </w:rPr>
        <w:t xml:space="preserve"> No entanto, isso não é motivo razoável para não serem implementados controles com a finalidade de se evitar a ocorrência dessa irregularidade, tendo em vista que a própria SLTI/MP informou que essa crítica já é realizada para as contratações efetivadas pelo órgão gerenciador e pelos demais participantes do registro de preços.</w:t>
      </w: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129. Nesse contexto, a fim de dar fiel cumprimento ao art. 8º, § 3º, do Decreto 3.931/2001</w:t>
      </w:r>
      <w:r w:rsidRPr="004E6870">
        <w:rPr>
          <w:rFonts w:ascii="Tahoma" w:hAnsi="Tahoma" w:cs="Tahoma"/>
          <w:b/>
          <w:color w:val="943634" w:themeColor="accent2" w:themeShade="BF"/>
          <w:sz w:val="23"/>
          <w:szCs w:val="23"/>
        </w:rPr>
        <w:t>, é necessário que a SLTI/MP implemente, no Siasg, controles para evitar contratações mediante SRP em quantidades superiores a 100% daquelas previstas em ata, a despeito de o contratante ser "carona", gerenciador da ata ou participante do registro de preço</w:t>
      </w:r>
      <w:r w:rsidRPr="004E6870">
        <w:rPr>
          <w:rFonts w:ascii="Tahoma" w:hAnsi="Tahoma" w:cs="Tahoma"/>
          <w:sz w:val="23"/>
          <w:szCs w:val="23"/>
        </w:rPr>
        <w:t xml:space="preserve">. </w:t>
      </w:r>
      <w:r>
        <w:rPr>
          <w:rFonts w:ascii="Tahoma" w:hAnsi="Tahoma" w:cs="Tahoma"/>
          <w:sz w:val="23"/>
          <w:szCs w:val="23"/>
        </w:rPr>
        <w:t>(...)</w:t>
      </w:r>
      <w:r w:rsidRPr="004E6870">
        <w:rPr>
          <w:rFonts w:ascii="Tahoma" w:hAnsi="Tahoma" w:cs="Tahoma"/>
          <w:sz w:val="23"/>
          <w:szCs w:val="23"/>
        </w:rPr>
        <w:t>.</w:t>
      </w:r>
    </w:p>
    <w:p w:rsidR="004E6870" w:rsidRPr="004E6870" w:rsidRDefault="004E6870" w:rsidP="004E6870">
      <w:pPr>
        <w:widowControl w:val="0"/>
        <w:autoSpaceDE w:val="0"/>
        <w:autoSpaceDN w:val="0"/>
        <w:adjustRightInd w:val="0"/>
        <w:ind w:left="567" w:firstLine="1600"/>
        <w:jc w:val="both"/>
        <w:rPr>
          <w:rFonts w:ascii="Tahoma" w:hAnsi="Tahoma" w:cs="Tahoma"/>
          <w:sz w:val="23"/>
          <w:szCs w:val="23"/>
        </w:rPr>
      </w:pPr>
      <w:r w:rsidRPr="004E6870">
        <w:rPr>
          <w:rFonts w:ascii="Tahoma" w:hAnsi="Tahoma" w:cs="Tahoma"/>
          <w:sz w:val="23"/>
          <w:szCs w:val="23"/>
        </w:rPr>
        <w:t xml:space="preserve">130. Por fim, é importante que o órgão competente por normatizar o SRP reforce a necessidade de os órgãos integrantes do </w:t>
      </w:r>
      <w:proofErr w:type="spellStart"/>
      <w:r w:rsidRPr="004E6870">
        <w:rPr>
          <w:rFonts w:ascii="Tahoma" w:hAnsi="Tahoma" w:cs="Tahoma"/>
          <w:sz w:val="23"/>
          <w:szCs w:val="23"/>
        </w:rPr>
        <w:t>Sisg</w:t>
      </w:r>
      <w:proofErr w:type="spellEnd"/>
      <w:r w:rsidRPr="004E6870">
        <w:rPr>
          <w:rFonts w:ascii="Tahoma" w:hAnsi="Tahoma" w:cs="Tahoma"/>
          <w:sz w:val="23"/>
          <w:szCs w:val="23"/>
        </w:rPr>
        <w:t xml:space="preserve"> observarem os limites previstos no art. 8º, § 3º, do Decreto 3.931/2001, a fim de que a prática relatada neste achado não se repita. Por se tratarem de indícios de irregularidades, faz-se necessário encaminhamento das ocorrências identificadas à </w:t>
      </w:r>
      <w:proofErr w:type="spellStart"/>
      <w:r w:rsidRPr="004E6870">
        <w:rPr>
          <w:rFonts w:ascii="Tahoma" w:hAnsi="Tahoma" w:cs="Tahoma"/>
          <w:sz w:val="23"/>
          <w:szCs w:val="23"/>
        </w:rPr>
        <w:t>Segecex</w:t>
      </w:r>
      <w:proofErr w:type="spellEnd"/>
      <w:r w:rsidRPr="004E6870">
        <w:rPr>
          <w:rFonts w:ascii="Tahoma" w:hAnsi="Tahoma" w:cs="Tahoma"/>
          <w:sz w:val="23"/>
          <w:szCs w:val="23"/>
        </w:rPr>
        <w:t xml:space="preserve"> com o propósito de subsidiar possíveis ações de controle, na forma relatada no parágrafo 6.</w:t>
      </w:r>
    </w:p>
    <w:p w:rsidR="004E6870" w:rsidRP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r>
        <w:rPr>
          <w:rFonts w:ascii="Tahoma" w:hAnsi="Tahoma" w:cs="Tahoma"/>
          <w:sz w:val="23"/>
          <w:szCs w:val="23"/>
          <w:lang w:eastAsia="pt-BR"/>
        </w:rPr>
        <w:t>Acórdão 1793/2011 Plenário   (Penalidades)</w:t>
      </w:r>
    </w:p>
    <w:p w:rsid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p>
    <w:p w:rsidR="004E6870" w:rsidRPr="004E6870" w:rsidRDefault="004E6870" w:rsidP="004E6870">
      <w:pPr>
        <w:widowControl w:val="0"/>
        <w:autoSpaceDE w:val="0"/>
        <w:autoSpaceDN w:val="0"/>
        <w:adjustRightInd w:val="0"/>
        <w:spacing w:line="340" w:lineRule="atLeast"/>
        <w:ind w:left="567" w:right="-427"/>
        <w:jc w:val="both"/>
        <w:rPr>
          <w:rFonts w:ascii="Tahoma" w:hAnsi="Tahoma" w:cs="Tahoma"/>
          <w:sz w:val="23"/>
          <w:szCs w:val="23"/>
          <w:lang w:eastAsia="pt-BR"/>
        </w:rPr>
      </w:pPr>
      <w:r>
        <w:rPr>
          <w:rFonts w:ascii="Tahoma" w:hAnsi="Tahoma" w:cs="Tahoma"/>
          <w:sz w:val="23"/>
          <w:szCs w:val="23"/>
          <w:lang w:eastAsia="pt-BR"/>
        </w:rPr>
        <w:t>(...)</w:t>
      </w:r>
    </w:p>
    <w:p w:rsidR="004E6870" w:rsidRDefault="004E6870" w:rsidP="004E6870">
      <w:pPr>
        <w:widowControl w:val="0"/>
        <w:autoSpaceDE w:val="0"/>
        <w:autoSpaceDN w:val="0"/>
        <w:adjustRightInd w:val="0"/>
        <w:spacing w:after="0" w:line="240" w:lineRule="auto"/>
        <w:ind w:left="567" w:right="-427" w:firstLine="567"/>
        <w:jc w:val="both"/>
        <w:rPr>
          <w:rFonts w:ascii="Tahoma" w:hAnsi="Tahoma" w:cs="Tahoma"/>
          <w:iCs/>
          <w:sz w:val="23"/>
          <w:szCs w:val="23"/>
          <w:lang w:eastAsia="pt-BR"/>
        </w:rPr>
      </w:pPr>
      <w:r w:rsidRPr="004E6870">
        <w:rPr>
          <w:rFonts w:ascii="Tahoma" w:hAnsi="Tahoma" w:cs="Tahoma"/>
          <w:iCs/>
          <w:sz w:val="23"/>
          <w:szCs w:val="23"/>
          <w:lang w:eastAsia="pt-BR"/>
        </w:rPr>
        <w:t>103. A despeito de as empresas declararem, antes do início da fase de</w:t>
      </w:r>
      <w:r w:rsidRPr="00333FAE">
        <w:rPr>
          <w:rFonts w:ascii="Tahoma" w:hAnsi="Tahoma" w:cs="Tahoma"/>
          <w:iCs/>
          <w:sz w:val="23"/>
          <w:szCs w:val="23"/>
          <w:lang w:eastAsia="pt-BR"/>
        </w:rPr>
        <w:t xml:space="preserve"> lances, que atendem aos requisitos de habilitação e de proposta exigidos no edital, em alguns casos, mesmo sabendo previamente não atender às condições mínimas, as empresas se arriscam em participar das licitações, confiando no fato de que não serão penalizadas.</w:t>
      </w:r>
    </w:p>
    <w:p w:rsidR="004E6870" w:rsidRPr="00333FAE" w:rsidRDefault="004E6870" w:rsidP="004E6870">
      <w:pPr>
        <w:widowControl w:val="0"/>
        <w:autoSpaceDE w:val="0"/>
        <w:autoSpaceDN w:val="0"/>
        <w:adjustRightInd w:val="0"/>
        <w:spacing w:after="0" w:line="240" w:lineRule="auto"/>
        <w:ind w:left="567" w:right="-427" w:firstLine="567"/>
        <w:jc w:val="both"/>
        <w:rPr>
          <w:rFonts w:ascii="Tahoma" w:hAnsi="Tahoma" w:cs="Tahoma"/>
          <w:iCs/>
          <w:sz w:val="23"/>
          <w:szCs w:val="23"/>
          <w:lang w:eastAsia="pt-BR"/>
        </w:rPr>
      </w:pPr>
    </w:p>
    <w:p w:rsidR="004E6870" w:rsidRPr="00FF41DA" w:rsidRDefault="004E6870" w:rsidP="004E6870">
      <w:pPr>
        <w:widowControl w:val="0"/>
        <w:autoSpaceDE w:val="0"/>
        <w:autoSpaceDN w:val="0"/>
        <w:adjustRightInd w:val="0"/>
        <w:spacing w:after="0" w:line="240" w:lineRule="auto"/>
        <w:ind w:left="567" w:right="-427" w:firstLine="567"/>
        <w:jc w:val="both"/>
        <w:rPr>
          <w:rFonts w:ascii="Tahoma" w:hAnsi="Tahoma" w:cs="Tahoma"/>
          <w:b/>
          <w:iCs/>
          <w:sz w:val="23"/>
          <w:szCs w:val="23"/>
          <w:lang w:eastAsia="pt-BR"/>
        </w:rPr>
      </w:pPr>
      <w:r w:rsidRPr="00333FAE">
        <w:rPr>
          <w:rFonts w:ascii="Tahoma" w:hAnsi="Tahoma" w:cs="Tahoma"/>
          <w:iCs/>
          <w:sz w:val="23"/>
          <w:szCs w:val="23"/>
          <w:lang w:eastAsia="pt-BR"/>
        </w:rPr>
        <w:t xml:space="preserve">104. Do contato com alguns gestores e da experiência vivenciada nos trabalhos de rotina da </w:t>
      </w:r>
      <w:proofErr w:type="spellStart"/>
      <w:r w:rsidRPr="00333FAE">
        <w:rPr>
          <w:rFonts w:ascii="Tahoma" w:hAnsi="Tahoma" w:cs="Tahoma"/>
          <w:iCs/>
          <w:sz w:val="23"/>
          <w:szCs w:val="23"/>
          <w:lang w:eastAsia="pt-BR"/>
        </w:rPr>
        <w:t>Sefti</w:t>
      </w:r>
      <w:proofErr w:type="spellEnd"/>
      <w:r w:rsidRPr="00333FAE">
        <w:rPr>
          <w:rFonts w:ascii="Tahoma" w:hAnsi="Tahoma" w:cs="Tahoma"/>
          <w:iCs/>
          <w:sz w:val="23"/>
          <w:szCs w:val="23"/>
          <w:lang w:eastAsia="pt-BR"/>
        </w:rPr>
        <w:t xml:space="preserve">, verifica-se, </w:t>
      </w:r>
      <w:r w:rsidRPr="00FF41DA">
        <w:rPr>
          <w:rFonts w:ascii="Tahoma" w:hAnsi="Tahoma" w:cs="Tahoma"/>
          <w:b/>
          <w:iCs/>
          <w:sz w:val="23"/>
          <w:szCs w:val="23"/>
          <w:lang w:eastAsia="pt-BR"/>
        </w:rPr>
        <w:t>na prática, a baixa incidência de instauração de processos administrativos para penalizar as empresas enquadradas nos casos supramencionados por parte dos órgãos envolvidos, abstendo-se, esses, da oportunidade de afastar essas empresas dos processos licitatórios.</w:t>
      </w:r>
    </w:p>
    <w:p w:rsidR="004E6870" w:rsidRPr="00333FAE" w:rsidRDefault="004E6870" w:rsidP="004E6870">
      <w:pPr>
        <w:widowControl w:val="0"/>
        <w:autoSpaceDE w:val="0"/>
        <w:autoSpaceDN w:val="0"/>
        <w:adjustRightInd w:val="0"/>
        <w:spacing w:after="0" w:line="240" w:lineRule="auto"/>
        <w:ind w:left="567" w:right="-427" w:firstLine="567"/>
        <w:jc w:val="both"/>
        <w:rPr>
          <w:rFonts w:ascii="Tahoma" w:hAnsi="Tahoma" w:cs="Tahoma"/>
          <w:iCs/>
          <w:sz w:val="23"/>
          <w:szCs w:val="23"/>
          <w:lang w:eastAsia="pt-BR"/>
        </w:rPr>
      </w:pPr>
    </w:p>
    <w:p w:rsidR="004E6870" w:rsidRPr="00333FAE" w:rsidRDefault="004E6870" w:rsidP="004E6870">
      <w:pPr>
        <w:widowControl w:val="0"/>
        <w:autoSpaceDE w:val="0"/>
        <w:autoSpaceDN w:val="0"/>
        <w:adjustRightInd w:val="0"/>
        <w:spacing w:after="0" w:line="240" w:lineRule="auto"/>
        <w:ind w:left="567" w:right="-427" w:firstLine="567"/>
        <w:jc w:val="both"/>
        <w:rPr>
          <w:rFonts w:ascii="Tahoma" w:hAnsi="Tahoma" w:cs="Tahoma"/>
          <w:iCs/>
          <w:sz w:val="23"/>
          <w:szCs w:val="23"/>
          <w:lang w:eastAsia="pt-BR"/>
        </w:rPr>
      </w:pPr>
      <w:r w:rsidRPr="00333FAE">
        <w:rPr>
          <w:rFonts w:ascii="Tahoma" w:hAnsi="Tahoma" w:cs="Tahoma"/>
          <w:iCs/>
          <w:sz w:val="23"/>
          <w:szCs w:val="23"/>
          <w:lang w:eastAsia="pt-BR"/>
        </w:rPr>
        <w:t xml:space="preserve">105. Considerando a gravidade dos indícios encontrados, </w:t>
      </w:r>
      <w:r w:rsidRPr="00FF41DA">
        <w:rPr>
          <w:rFonts w:ascii="Tahoma" w:hAnsi="Tahoma" w:cs="Tahoma"/>
          <w:b/>
          <w:iCs/>
          <w:sz w:val="23"/>
          <w:szCs w:val="23"/>
          <w:lang w:eastAsia="pt-BR"/>
        </w:rPr>
        <w:t>a inércia de agentes públicos envolvidos e a recorrente prática desse tipo de comportamento por algumas empresas, entende-se que já seria possível promover audiência de gestores omissos que não autuaram processos administrativos contra as empresas que infringiram o art. 7º da Lei 10.520/2002.</w:t>
      </w:r>
      <w:r w:rsidRPr="00333FAE">
        <w:rPr>
          <w:rFonts w:ascii="Tahoma" w:hAnsi="Tahoma" w:cs="Tahoma"/>
          <w:iCs/>
          <w:sz w:val="23"/>
          <w:szCs w:val="23"/>
          <w:lang w:eastAsia="pt-BR"/>
        </w:rPr>
        <w:t xml:space="preserve"> Entretanto, </w:t>
      </w:r>
      <w:r w:rsidRPr="00FF41DA">
        <w:rPr>
          <w:rFonts w:ascii="Tahoma" w:hAnsi="Tahoma" w:cs="Tahoma"/>
          <w:b/>
          <w:iCs/>
          <w:color w:val="943634" w:themeColor="accent2" w:themeShade="BF"/>
          <w:sz w:val="23"/>
          <w:szCs w:val="23"/>
          <w:lang w:eastAsia="pt-BR"/>
        </w:rPr>
        <w:t>como a maioria dos gestores desconhece a importância e a obrigatoriedade dessa prática e a cultura predominante na Administração é a de não autuar processos nesses casos, optou-se, nesse momento, por deliberações orientadoras em detrimento de audiências dos responsáveis, sem prejuízo da adoção dessa medida em oportunidades futuras.”</w:t>
      </w:r>
    </w:p>
    <w:p w:rsidR="004E6870" w:rsidRDefault="004E6870" w:rsidP="004E6870">
      <w:pPr>
        <w:ind w:right="-525"/>
        <w:rPr>
          <w:rFonts w:ascii="Tahoma" w:hAnsi="Tahoma" w:cs="Tahoma"/>
          <w:sz w:val="23"/>
          <w:szCs w:val="23"/>
        </w:rPr>
      </w:pPr>
    </w:p>
    <w:p w:rsidR="004E6870" w:rsidRPr="005A40DA" w:rsidRDefault="004E6870" w:rsidP="004E6870">
      <w:pPr>
        <w:ind w:right="-525"/>
        <w:rPr>
          <w:rFonts w:ascii="Tahoma" w:hAnsi="Tahoma" w:cs="Tahoma"/>
          <w:sz w:val="23"/>
          <w:szCs w:val="23"/>
        </w:rPr>
      </w:pPr>
    </w:p>
    <w:p w:rsidR="00851FE5" w:rsidRPr="00DE6198" w:rsidRDefault="00851FE5" w:rsidP="00DE6198">
      <w:pPr>
        <w:spacing w:before="80" w:line="360" w:lineRule="auto"/>
        <w:jc w:val="both"/>
        <w:rPr>
          <w:rFonts w:ascii="Tahoma" w:hAnsi="Tahoma" w:cs="Tahoma"/>
          <w:b/>
          <w:color w:val="000000" w:themeColor="text1"/>
          <w:sz w:val="23"/>
          <w:szCs w:val="23"/>
        </w:rPr>
      </w:pPr>
    </w:p>
    <w:sectPr w:rsidR="00851FE5" w:rsidRPr="00DE6198" w:rsidSect="00193750">
      <w:headerReference w:type="default" r:id="rId13"/>
      <w:footerReference w:type="default" r:id="rId14"/>
      <w:pgSz w:w="11906" w:h="16838"/>
      <w:pgMar w:top="3805" w:right="1701" w:bottom="1417" w:left="1701" w:header="708" w:footer="154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70" w:rsidRDefault="004E6870" w:rsidP="00193750">
      <w:pPr>
        <w:spacing w:after="0" w:line="240" w:lineRule="auto"/>
      </w:pPr>
      <w:r>
        <w:separator/>
      </w:r>
    </w:p>
  </w:endnote>
  <w:endnote w:type="continuationSeparator" w:id="0">
    <w:p w:rsidR="004E6870" w:rsidRDefault="004E6870" w:rsidP="0019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70" w:rsidRDefault="004E6870">
    <w:pPr>
      <w:pStyle w:val="Footer"/>
    </w:pPr>
    <w:r>
      <w:rPr>
        <w:noProof/>
        <w:lang w:val="en-US"/>
      </w:rPr>
      <w:drawing>
        <wp:anchor distT="0" distB="0" distL="114300" distR="114300" simplePos="0" relativeHeight="251658240" behindDoc="0" locked="0" layoutInCell="1" allowOverlap="1" wp14:anchorId="720581A0" wp14:editId="584ADD3F">
          <wp:simplePos x="0" y="0"/>
          <wp:positionH relativeFrom="column">
            <wp:posOffset>-31115</wp:posOffset>
          </wp:positionH>
          <wp:positionV relativeFrom="paragraph">
            <wp:posOffset>120650</wp:posOffset>
          </wp:positionV>
          <wp:extent cx="5398770" cy="607060"/>
          <wp:effectExtent l="19050" t="0" r="0" b="0"/>
          <wp:wrapThrough wrapText="bothSides">
            <wp:wrapPolygon edited="0">
              <wp:start x="-76" y="0"/>
              <wp:lineTo x="-76" y="21013"/>
              <wp:lineTo x="21570" y="21013"/>
              <wp:lineTo x="21570" y="0"/>
              <wp:lineTo x="-76" y="0"/>
            </wp:wrapPolygon>
          </wp:wrapThrough>
          <wp:docPr id="1" name="Imagem 1" descr="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e.jpg"/>
                  <pic:cNvPicPr>
                    <a:picLocks noChangeAspect="1" noChangeArrowheads="1"/>
                  </pic:cNvPicPr>
                </pic:nvPicPr>
                <pic:blipFill>
                  <a:blip r:embed="rId1"/>
                  <a:srcRect/>
                  <a:stretch>
                    <a:fillRect/>
                  </a:stretch>
                </pic:blipFill>
                <pic:spPr bwMode="auto">
                  <a:xfrm>
                    <a:off x="0" y="0"/>
                    <a:ext cx="5398770" cy="6070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70" w:rsidRDefault="004E6870" w:rsidP="00193750">
      <w:pPr>
        <w:spacing w:after="0" w:line="240" w:lineRule="auto"/>
      </w:pPr>
      <w:r>
        <w:separator/>
      </w:r>
    </w:p>
  </w:footnote>
  <w:footnote w:type="continuationSeparator" w:id="0">
    <w:p w:rsidR="004E6870" w:rsidRDefault="004E6870" w:rsidP="001937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70" w:rsidRDefault="004E6870">
    <w:pPr>
      <w:pStyle w:val="Header"/>
    </w:pPr>
    <w:r>
      <w:rPr>
        <w:noProof/>
        <w:lang w:val="en-US"/>
      </w:rPr>
      <w:drawing>
        <wp:anchor distT="0" distB="0" distL="114300" distR="114300" simplePos="0" relativeHeight="251657216" behindDoc="0" locked="0" layoutInCell="1" allowOverlap="1" wp14:anchorId="225EE94D" wp14:editId="2E28E5D2">
          <wp:simplePos x="0" y="0"/>
          <wp:positionH relativeFrom="column">
            <wp:posOffset>-811530</wp:posOffset>
          </wp:positionH>
          <wp:positionV relativeFrom="paragraph">
            <wp:posOffset>-163195</wp:posOffset>
          </wp:positionV>
          <wp:extent cx="5557520" cy="1936115"/>
          <wp:effectExtent l="0" t="0" r="0" b="0"/>
          <wp:wrapThrough wrapText="bothSides">
            <wp:wrapPolygon edited="0">
              <wp:start x="6441" y="1275"/>
              <wp:lineTo x="2295" y="2338"/>
              <wp:lineTo x="2369" y="4676"/>
              <wp:lineTo x="1703" y="5313"/>
              <wp:lineTo x="666" y="7439"/>
              <wp:lineTo x="296" y="11264"/>
              <wp:lineTo x="592" y="14877"/>
              <wp:lineTo x="592" y="15515"/>
              <wp:lineTo x="1703" y="18277"/>
              <wp:lineTo x="2221" y="20190"/>
              <wp:lineTo x="2295" y="20190"/>
              <wp:lineTo x="7774" y="20190"/>
              <wp:lineTo x="14734" y="20190"/>
              <wp:lineTo x="19028" y="19553"/>
              <wp:lineTo x="18954" y="18277"/>
              <wp:lineTo x="19028" y="15090"/>
              <wp:lineTo x="19102" y="13389"/>
              <wp:lineTo x="18806" y="12539"/>
              <wp:lineTo x="17696" y="11477"/>
              <wp:lineTo x="18806" y="11477"/>
              <wp:lineTo x="19102" y="9564"/>
              <wp:lineTo x="18880" y="7864"/>
              <wp:lineTo x="15548" y="4463"/>
              <wp:lineTo x="7478" y="1275"/>
              <wp:lineTo x="6441" y="1275"/>
            </wp:wrapPolygon>
          </wp:wrapThrough>
          <wp:docPr id="2" name="Imagem 0" descr="Log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08.png"/>
                  <pic:cNvPicPr>
                    <a:picLocks noChangeAspect="1" noChangeArrowheads="1"/>
                  </pic:cNvPicPr>
                </pic:nvPicPr>
                <pic:blipFill>
                  <a:blip r:embed="rId1"/>
                  <a:srcRect/>
                  <a:stretch>
                    <a:fillRect/>
                  </a:stretch>
                </pic:blipFill>
                <pic:spPr bwMode="auto">
                  <a:xfrm>
                    <a:off x="0" y="0"/>
                    <a:ext cx="5557520" cy="19361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35pt;height:10pt" o:bullet="t">
        <v:imagedata r:id="rId1" o:title="BD21300_"/>
      </v:shape>
    </w:pict>
  </w:numPicBullet>
  <w:numPicBullet w:numPicBulletId="1">
    <w:pict>
      <v:shape id="_x0000_i1183" type="#_x0000_t75" style="width:9.35pt;height:9.35pt" o:bullet="t">
        <v:imagedata r:id="rId2" o:title="BD15023_"/>
      </v:shape>
    </w:pict>
  </w:numPicBullet>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6305C"/>
    <w:multiLevelType w:val="hybridMultilevel"/>
    <w:tmpl w:val="EFF41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7146B"/>
    <w:multiLevelType w:val="hybridMultilevel"/>
    <w:tmpl w:val="A3F69896"/>
    <w:lvl w:ilvl="0" w:tplc="0040FCAA">
      <w:start w:val="1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B865548"/>
    <w:multiLevelType w:val="hybridMultilevel"/>
    <w:tmpl w:val="258A6870"/>
    <w:lvl w:ilvl="0" w:tplc="59BAB00A">
      <w:start w:val="1"/>
      <w:numFmt w:val="decimal"/>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4">
    <w:nsid w:val="0C107E38"/>
    <w:multiLevelType w:val="hybridMultilevel"/>
    <w:tmpl w:val="9D3EEC64"/>
    <w:lvl w:ilvl="0" w:tplc="03FEA4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1C3146B"/>
    <w:multiLevelType w:val="hybridMultilevel"/>
    <w:tmpl w:val="0D561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C7027"/>
    <w:multiLevelType w:val="hybridMultilevel"/>
    <w:tmpl w:val="FFE21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F156266"/>
    <w:multiLevelType w:val="hybridMultilevel"/>
    <w:tmpl w:val="999C9D42"/>
    <w:lvl w:ilvl="0" w:tplc="74E2789C">
      <w:start w:val="1"/>
      <w:numFmt w:val="lowerLetter"/>
      <w:lvlText w:val="%1)"/>
      <w:lvlJc w:val="left"/>
      <w:pPr>
        <w:tabs>
          <w:tab w:val="num" w:pos="720"/>
        </w:tabs>
        <w:ind w:left="720" w:hanging="360"/>
      </w:pPr>
      <w:rPr>
        <w:rFonts w:ascii="Tahoma" w:eastAsia="Calibri" w:hAnsi="Tahoma" w:cs="Tahoma"/>
      </w:rPr>
    </w:lvl>
    <w:lvl w:ilvl="1" w:tplc="0B32F22E" w:tentative="1">
      <w:start w:val="1"/>
      <w:numFmt w:val="lowerLetter"/>
      <w:lvlText w:val="%2)"/>
      <w:lvlJc w:val="left"/>
      <w:pPr>
        <w:tabs>
          <w:tab w:val="num" w:pos="1440"/>
        </w:tabs>
        <w:ind w:left="1440" w:hanging="360"/>
      </w:pPr>
    </w:lvl>
    <w:lvl w:ilvl="2" w:tplc="565437CA" w:tentative="1">
      <w:start w:val="1"/>
      <w:numFmt w:val="lowerLetter"/>
      <w:lvlText w:val="%3)"/>
      <w:lvlJc w:val="left"/>
      <w:pPr>
        <w:tabs>
          <w:tab w:val="num" w:pos="2160"/>
        </w:tabs>
        <w:ind w:left="2160" w:hanging="360"/>
      </w:pPr>
    </w:lvl>
    <w:lvl w:ilvl="3" w:tplc="97F893C6" w:tentative="1">
      <w:start w:val="1"/>
      <w:numFmt w:val="lowerLetter"/>
      <w:lvlText w:val="%4)"/>
      <w:lvlJc w:val="left"/>
      <w:pPr>
        <w:tabs>
          <w:tab w:val="num" w:pos="2880"/>
        </w:tabs>
        <w:ind w:left="2880" w:hanging="360"/>
      </w:pPr>
    </w:lvl>
    <w:lvl w:ilvl="4" w:tplc="794E23B4" w:tentative="1">
      <w:start w:val="1"/>
      <w:numFmt w:val="lowerLetter"/>
      <w:lvlText w:val="%5)"/>
      <w:lvlJc w:val="left"/>
      <w:pPr>
        <w:tabs>
          <w:tab w:val="num" w:pos="3600"/>
        </w:tabs>
        <w:ind w:left="3600" w:hanging="360"/>
      </w:pPr>
    </w:lvl>
    <w:lvl w:ilvl="5" w:tplc="08064976" w:tentative="1">
      <w:start w:val="1"/>
      <w:numFmt w:val="lowerLetter"/>
      <w:lvlText w:val="%6)"/>
      <w:lvlJc w:val="left"/>
      <w:pPr>
        <w:tabs>
          <w:tab w:val="num" w:pos="4320"/>
        </w:tabs>
        <w:ind w:left="4320" w:hanging="360"/>
      </w:pPr>
    </w:lvl>
    <w:lvl w:ilvl="6" w:tplc="C6C4D6AC" w:tentative="1">
      <w:start w:val="1"/>
      <w:numFmt w:val="lowerLetter"/>
      <w:lvlText w:val="%7)"/>
      <w:lvlJc w:val="left"/>
      <w:pPr>
        <w:tabs>
          <w:tab w:val="num" w:pos="5040"/>
        </w:tabs>
        <w:ind w:left="5040" w:hanging="360"/>
      </w:pPr>
    </w:lvl>
    <w:lvl w:ilvl="7" w:tplc="19B8FAD8" w:tentative="1">
      <w:start w:val="1"/>
      <w:numFmt w:val="lowerLetter"/>
      <w:lvlText w:val="%8)"/>
      <w:lvlJc w:val="left"/>
      <w:pPr>
        <w:tabs>
          <w:tab w:val="num" w:pos="5760"/>
        </w:tabs>
        <w:ind w:left="5760" w:hanging="360"/>
      </w:pPr>
    </w:lvl>
    <w:lvl w:ilvl="8" w:tplc="BE463AA8" w:tentative="1">
      <w:start w:val="1"/>
      <w:numFmt w:val="lowerLetter"/>
      <w:lvlText w:val="%9)"/>
      <w:lvlJc w:val="left"/>
      <w:pPr>
        <w:tabs>
          <w:tab w:val="num" w:pos="6480"/>
        </w:tabs>
        <w:ind w:left="6480" w:hanging="360"/>
      </w:pPr>
    </w:lvl>
  </w:abstractNum>
  <w:abstractNum w:abstractNumId="8">
    <w:nsid w:val="354D7EF0"/>
    <w:multiLevelType w:val="hybridMultilevel"/>
    <w:tmpl w:val="3FE0CFFA"/>
    <w:lvl w:ilvl="0" w:tplc="04160001">
      <w:start w:val="1"/>
      <w:numFmt w:val="bullet"/>
      <w:lvlText w:val=""/>
      <w:lvlJc w:val="left"/>
      <w:pPr>
        <w:tabs>
          <w:tab w:val="num" w:pos="720"/>
        </w:tabs>
        <w:ind w:left="720" w:hanging="360"/>
      </w:pPr>
      <w:rPr>
        <w:rFonts w:ascii="Symbol" w:hAnsi="Symbol" w:hint="default"/>
      </w:rPr>
    </w:lvl>
    <w:lvl w:ilvl="1" w:tplc="BAA8604A">
      <w:start w:val="1470"/>
      <w:numFmt w:val="bullet"/>
      <w:lvlText w:val="–"/>
      <w:lvlJc w:val="left"/>
      <w:pPr>
        <w:tabs>
          <w:tab w:val="num" w:pos="1440"/>
        </w:tabs>
        <w:ind w:left="1440" w:hanging="360"/>
      </w:pPr>
      <w:rPr>
        <w:rFonts w:ascii="Arial" w:hAnsi="Arial" w:hint="default"/>
      </w:rPr>
    </w:lvl>
    <w:lvl w:ilvl="2" w:tplc="7AAA3A86" w:tentative="1">
      <w:start w:val="1"/>
      <w:numFmt w:val="bullet"/>
      <w:lvlText w:val="•"/>
      <w:lvlJc w:val="left"/>
      <w:pPr>
        <w:tabs>
          <w:tab w:val="num" w:pos="2160"/>
        </w:tabs>
        <w:ind w:left="2160" w:hanging="360"/>
      </w:pPr>
      <w:rPr>
        <w:rFonts w:ascii="Arial" w:hAnsi="Arial" w:hint="default"/>
      </w:rPr>
    </w:lvl>
    <w:lvl w:ilvl="3" w:tplc="846A7C04" w:tentative="1">
      <w:start w:val="1"/>
      <w:numFmt w:val="bullet"/>
      <w:lvlText w:val="•"/>
      <w:lvlJc w:val="left"/>
      <w:pPr>
        <w:tabs>
          <w:tab w:val="num" w:pos="2880"/>
        </w:tabs>
        <w:ind w:left="2880" w:hanging="360"/>
      </w:pPr>
      <w:rPr>
        <w:rFonts w:ascii="Arial" w:hAnsi="Arial" w:hint="default"/>
      </w:rPr>
    </w:lvl>
    <w:lvl w:ilvl="4" w:tplc="0C128DC4" w:tentative="1">
      <w:start w:val="1"/>
      <w:numFmt w:val="bullet"/>
      <w:lvlText w:val="•"/>
      <w:lvlJc w:val="left"/>
      <w:pPr>
        <w:tabs>
          <w:tab w:val="num" w:pos="3600"/>
        </w:tabs>
        <w:ind w:left="3600" w:hanging="360"/>
      </w:pPr>
      <w:rPr>
        <w:rFonts w:ascii="Arial" w:hAnsi="Arial" w:hint="default"/>
      </w:rPr>
    </w:lvl>
    <w:lvl w:ilvl="5" w:tplc="0AACDD00" w:tentative="1">
      <w:start w:val="1"/>
      <w:numFmt w:val="bullet"/>
      <w:lvlText w:val="•"/>
      <w:lvlJc w:val="left"/>
      <w:pPr>
        <w:tabs>
          <w:tab w:val="num" w:pos="4320"/>
        </w:tabs>
        <w:ind w:left="4320" w:hanging="360"/>
      </w:pPr>
      <w:rPr>
        <w:rFonts w:ascii="Arial" w:hAnsi="Arial" w:hint="default"/>
      </w:rPr>
    </w:lvl>
    <w:lvl w:ilvl="6" w:tplc="EDCA1C5E" w:tentative="1">
      <w:start w:val="1"/>
      <w:numFmt w:val="bullet"/>
      <w:lvlText w:val="•"/>
      <w:lvlJc w:val="left"/>
      <w:pPr>
        <w:tabs>
          <w:tab w:val="num" w:pos="5040"/>
        </w:tabs>
        <w:ind w:left="5040" w:hanging="360"/>
      </w:pPr>
      <w:rPr>
        <w:rFonts w:ascii="Arial" w:hAnsi="Arial" w:hint="default"/>
      </w:rPr>
    </w:lvl>
    <w:lvl w:ilvl="7" w:tplc="974CBBE8" w:tentative="1">
      <w:start w:val="1"/>
      <w:numFmt w:val="bullet"/>
      <w:lvlText w:val="•"/>
      <w:lvlJc w:val="left"/>
      <w:pPr>
        <w:tabs>
          <w:tab w:val="num" w:pos="5760"/>
        </w:tabs>
        <w:ind w:left="5760" w:hanging="360"/>
      </w:pPr>
      <w:rPr>
        <w:rFonts w:ascii="Arial" w:hAnsi="Arial" w:hint="default"/>
      </w:rPr>
    </w:lvl>
    <w:lvl w:ilvl="8" w:tplc="6868EAF4" w:tentative="1">
      <w:start w:val="1"/>
      <w:numFmt w:val="bullet"/>
      <w:lvlText w:val="•"/>
      <w:lvlJc w:val="left"/>
      <w:pPr>
        <w:tabs>
          <w:tab w:val="num" w:pos="6480"/>
        </w:tabs>
        <w:ind w:left="6480" w:hanging="360"/>
      </w:pPr>
      <w:rPr>
        <w:rFonts w:ascii="Arial" w:hAnsi="Arial" w:hint="default"/>
      </w:rPr>
    </w:lvl>
  </w:abstractNum>
  <w:abstractNum w:abstractNumId="9">
    <w:nsid w:val="37910607"/>
    <w:multiLevelType w:val="hybridMultilevel"/>
    <w:tmpl w:val="42786DBE"/>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
    <w:nsid w:val="3E784D6F"/>
    <w:multiLevelType w:val="hybridMultilevel"/>
    <w:tmpl w:val="63CE46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DC61E3"/>
    <w:multiLevelType w:val="hybridMultilevel"/>
    <w:tmpl w:val="2A3C95CC"/>
    <w:lvl w:ilvl="0" w:tplc="17186A66">
      <w:start w:val="1"/>
      <w:numFmt w:val="lowerLetter"/>
      <w:lvlText w:val="%1)"/>
      <w:lvlJc w:val="left"/>
      <w:pPr>
        <w:tabs>
          <w:tab w:val="num" w:pos="720"/>
        </w:tabs>
        <w:ind w:left="720" w:hanging="360"/>
      </w:pPr>
    </w:lvl>
    <w:lvl w:ilvl="1" w:tplc="28A249CE" w:tentative="1">
      <w:start w:val="1"/>
      <w:numFmt w:val="lowerLetter"/>
      <w:lvlText w:val="%2)"/>
      <w:lvlJc w:val="left"/>
      <w:pPr>
        <w:tabs>
          <w:tab w:val="num" w:pos="1440"/>
        </w:tabs>
        <w:ind w:left="1440" w:hanging="360"/>
      </w:pPr>
    </w:lvl>
    <w:lvl w:ilvl="2" w:tplc="BF1C4478" w:tentative="1">
      <w:start w:val="1"/>
      <w:numFmt w:val="lowerLetter"/>
      <w:lvlText w:val="%3)"/>
      <w:lvlJc w:val="left"/>
      <w:pPr>
        <w:tabs>
          <w:tab w:val="num" w:pos="2160"/>
        </w:tabs>
        <w:ind w:left="2160" w:hanging="360"/>
      </w:pPr>
    </w:lvl>
    <w:lvl w:ilvl="3" w:tplc="43BAB058" w:tentative="1">
      <w:start w:val="1"/>
      <w:numFmt w:val="lowerLetter"/>
      <w:lvlText w:val="%4)"/>
      <w:lvlJc w:val="left"/>
      <w:pPr>
        <w:tabs>
          <w:tab w:val="num" w:pos="2880"/>
        </w:tabs>
        <w:ind w:left="2880" w:hanging="360"/>
      </w:pPr>
    </w:lvl>
    <w:lvl w:ilvl="4" w:tplc="C062FDE8" w:tentative="1">
      <w:start w:val="1"/>
      <w:numFmt w:val="lowerLetter"/>
      <w:lvlText w:val="%5)"/>
      <w:lvlJc w:val="left"/>
      <w:pPr>
        <w:tabs>
          <w:tab w:val="num" w:pos="3600"/>
        </w:tabs>
        <w:ind w:left="3600" w:hanging="360"/>
      </w:pPr>
    </w:lvl>
    <w:lvl w:ilvl="5" w:tplc="4F805FFC" w:tentative="1">
      <w:start w:val="1"/>
      <w:numFmt w:val="lowerLetter"/>
      <w:lvlText w:val="%6)"/>
      <w:lvlJc w:val="left"/>
      <w:pPr>
        <w:tabs>
          <w:tab w:val="num" w:pos="4320"/>
        </w:tabs>
        <w:ind w:left="4320" w:hanging="360"/>
      </w:pPr>
    </w:lvl>
    <w:lvl w:ilvl="6" w:tplc="BAD0363C" w:tentative="1">
      <w:start w:val="1"/>
      <w:numFmt w:val="lowerLetter"/>
      <w:lvlText w:val="%7)"/>
      <w:lvlJc w:val="left"/>
      <w:pPr>
        <w:tabs>
          <w:tab w:val="num" w:pos="5040"/>
        </w:tabs>
        <w:ind w:left="5040" w:hanging="360"/>
      </w:pPr>
    </w:lvl>
    <w:lvl w:ilvl="7" w:tplc="1E46BB2E" w:tentative="1">
      <w:start w:val="1"/>
      <w:numFmt w:val="lowerLetter"/>
      <w:lvlText w:val="%8)"/>
      <w:lvlJc w:val="left"/>
      <w:pPr>
        <w:tabs>
          <w:tab w:val="num" w:pos="5760"/>
        </w:tabs>
        <w:ind w:left="5760" w:hanging="360"/>
      </w:pPr>
    </w:lvl>
    <w:lvl w:ilvl="8" w:tplc="4EE885D4" w:tentative="1">
      <w:start w:val="1"/>
      <w:numFmt w:val="lowerLetter"/>
      <w:lvlText w:val="%9)"/>
      <w:lvlJc w:val="left"/>
      <w:pPr>
        <w:tabs>
          <w:tab w:val="num" w:pos="6480"/>
        </w:tabs>
        <w:ind w:left="6480" w:hanging="360"/>
      </w:pPr>
    </w:lvl>
  </w:abstractNum>
  <w:abstractNum w:abstractNumId="12">
    <w:nsid w:val="49B0290C"/>
    <w:multiLevelType w:val="hybridMultilevel"/>
    <w:tmpl w:val="B9A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92007"/>
    <w:multiLevelType w:val="hybridMultilevel"/>
    <w:tmpl w:val="C646E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40CBB"/>
    <w:multiLevelType w:val="hybridMultilevel"/>
    <w:tmpl w:val="640A3620"/>
    <w:lvl w:ilvl="0" w:tplc="04160009">
      <w:start w:val="1"/>
      <w:numFmt w:val="bullet"/>
      <w:lvlText w:val=""/>
      <w:lvlJc w:val="left"/>
      <w:pPr>
        <w:tabs>
          <w:tab w:val="num" w:pos="720"/>
        </w:tabs>
        <w:ind w:left="720" w:hanging="360"/>
      </w:pPr>
      <w:rPr>
        <w:rFonts w:ascii="Wingdings" w:hAnsi="Wingdings" w:hint="default"/>
      </w:rPr>
    </w:lvl>
    <w:lvl w:ilvl="1" w:tplc="BAA8604A">
      <w:start w:val="1470"/>
      <w:numFmt w:val="bullet"/>
      <w:lvlText w:val="–"/>
      <w:lvlJc w:val="left"/>
      <w:pPr>
        <w:tabs>
          <w:tab w:val="num" w:pos="1440"/>
        </w:tabs>
        <w:ind w:left="1440" w:hanging="360"/>
      </w:pPr>
      <w:rPr>
        <w:rFonts w:ascii="Arial" w:hAnsi="Arial" w:hint="default"/>
      </w:rPr>
    </w:lvl>
    <w:lvl w:ilvl="2" w:tplc="7AAA3A86" w:tentative="1">
      <w:start w:val="1"/>
      <w:numFmt w:val="bullet"/>
      <w:lvlText w:val="•"/>
      <w:lvlJc w:val="left"/>
      <w:pPr>
        <w:tabs>
          <w:tab w:val="num" w:pos="2160"/>
        </w:tabs>
        <w:ind w:left="2160" w:hanging="360"/>
      </w:pPr>
      <w:rPr>
        <w:rFonts w:ascii="Arial" w:hAnsi="Arial" w:hint="default"/>
      </w:rPr>
    </w:lvl>
    <w:lvl w:ilvl="3" w:tplc="846A7C04" w:tentative="1">
      <w:start w:val="1"/>
      <w:numFmt w:val="bullet"/>
      <w:lvlText w:val="•"/>
      <w:lvlJc w:val="left"/>
      <w:pPr>
        <w:tabs>
          <w:tab w:val="num" w:pos="2880"/>
        </w:tabs>
        <w:ind w:left="2880" w:hanging="360"/>
      </w:pPr>
      <w:rPr>
        <w:rFonts w:ascii="Arial" w:hAnsi="Arial" w:hint="default"/>
      </w:rPr>
    </w:lvl>
    <w:lvl w:ilvl="4" w:tplc="0C128DC4" w:tentative="1">
      <w:start w:val="1"/>
      <w:numFmt w:val="bullet"/>
      <w:lvlText w:val="•"/>
      <w:lvlJc w:val="left"/>
      <w:pPr>
        <w:tabs>
          <w:tab w:val="num" w:pos="3600"/>
        </w:tabs>
        <w:ind w:left="3600" w:hanging="360"/>
      </w:pPr>
      <w:rPr>
        <w:rFonts w:ascii="Arial" w:hAnsi="Arial" w:hint="default"/>
      </w:rPr>
    </w:lvl>
    <w:lvl w:ilvl="5" w:tplc="0AACDD00" w:tentative="1">
      <w:start w:val="1"/>
      <w:numFmt w:val="bullet"/>
      <w:lvlText w:val="•"/>
      <w:lvlJc w:val="left"/>
      <w:pPr>
        <w:tabs>
          <w:tab w:val="num" w:pos="4320"/>
        </w:tabs>
        <w:ind w:left="4320" w:hanging="360"/>
      </w:pPr>
      <w:rPr>
        <w:rFonts w:ascii="Arial" w:hAnsi="Arial" w:hint="default"/>
      </w:rPr>
    </w:lvl>
    <w:lvl w:ilvl="6" w:tplc="EDCA1C5E" w:tentative="1">
      <w:start w:val="1"/>
      <w:numFmt w:val="bullet"/>
      <w:lvlText w:val="•"/>
      <w:lvlJc w:val="left"/>
      <w:pPr>
        <w:tabs>
          <w:tab w:val="num" w:pos="5040"/>
        </w:tabs>
        <w:ind w:left="5040" w:hanging="360"/>
      </w:pPr>
      <w:rPr>
        <w:rFonts w:ascii="Arial" w:hAnsi="Arial" w:hint="default"/>
      </w:rPr>
    </w:lvl>
    <w:lvl w:ilvl="7" w:tplc="974CBBE8" w:tentative="1">
      <w:start w:val="1"/>
      <w:numFmt w:val="bullet"/>
      <w:lvlText w:val="•"/>
      <w:lvlJc w:val="left"/>
      <w:pPr>
        <w:tabs>
          <w:tab w:val="num" w:pos="5760"/>
        </w:tabs>
        <w:ind w:left="5760" w:hanging="360"/>
      </w:pPr>
      <w:rPr>
        <w:rFonts w:ascii="Arial" w:hAnsi="Arial" w:hint="default"/>
      </w:rPr>
    </w:lvl>
    <w:lvl w:ilvl="8" w:tplc="6868EAF4" w:tentative="1">
      <w:start w:val="1"/>
      <w:numFmt w:val="bullet"/>
      <w:lvlText w:val="•"/>
      <w:lvlJc w:val="left"/>
      <w:pPr>
        <w:tabs>
          <w:tab w:val="num" w:pos="6480"/>
        </w:tabs>
        <w:ind w:left="6480" w:hanging="360"/>
      </w:pPr>
      <w:rPr>
        <w:rFonts w:ascii="Arial" w:hAnsi="Arial" w:hint="default"/>
      </w:rPr>
    </w:lvl>
  </w:abstractNum>
  <w:abstractNum w:abstractNumId="15">
    <w:nsid w:val="5B132226"/>
    <w:multiLevelType w:val="hybridMultilevel"/>
    <w:tmpl w:val="D3C84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B36EA"/>
    <w:multiLevelType w:val="hybridMultilevel"/>
    <w:tmpl w:val="8E109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B091E"/>
    <w:multiLevelType w:val="hybridMultilevel"/>
    <w:tmpl w:val="2132F6E0"/>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60F72534"/>
    <w:multiLevelType w:val="hybridMultilevel"/>
    <w:tmpl w:val="F4447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4957913"/>
    <w:multiLevelType w:val="hybridMultilevel"/>
    <w:tmpl w:val="567A0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920EF"/>
    <w:multiLevelType w:val="hybridMultilevel"/>
    <w:tmpl w:val="C212E952"/>
    <w:lvl w:ilvl="0" w:tplc="FD2E6744">
      <w:start w:val="1"/>
      <w:numFmt w:val="bullet"/>
      <w:lvlText w:val=""/>
      <w:lvlPicBulletId w:val="0"/>
      <w:lvlJc w:val="left"/>
      <w:pPr>
        <w:ind w:left="1146" w:hanging="360"/>
      </w:pPr>
      <w:rPr>
        <w:rFonts w:ascii="Symbol" w:hAnsi="Symbol" w:hint="default"/>
        <w:color w:val="auto"/>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1">
    <w:nsid w:val="6A825C51"/>
    <w:multiLevelType w:val="multilevel"/>
    <w:tmpl w:val="C898FB9E"/>
    <w:lvl w:ilvl="0">
      <w:start w:val="1"/>
      <w:numFmt w:val="bullet"/>
      <w:lvlText w:val=""/>
      <w:lvlPicBulletId w:val="1"/>
      <w:lvlJc w:val="left"/>
      <w:pPr>
        <w:tabs>
          <w:tab w:val="num" w:pos="786"/>
        </w:tabs>
        <w:ind w:left="786"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E60A17"/>
    <w:multiLevelType w:val="hybridMultilevel"/>
    <w:tmpl w:val="1100A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83456"/>
    <w:multiLevelType w:val="hybridMultilevel"/>
    <w:tmpl w:val="F20EA9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4315CC"/>
    <w:multiLevelType w:val="hybridMultilevel"/>
    <w:tmpl w:val="208E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23"/>
  </w:num>
  <w:num w:numId="5">
    <w:abstractNumId w:val="2"/>
  </w:num>
  <w:num w:numId="6">
    <w:abstractNumId w:val="18"/>
  </w:num>
  <w:num w:numId="7">
    <w:abstractNumId w:val="0"/>
  </w:num>
  <w:num w:numId="8">
    <w:abstractNumId w:val="17"/>
  </w:num>
  <w:num w:numId="9">
    <w:abstractNumId w:val="13"/>
  </w:num>
  <w:num w:numId="10">
    <w:abstractNumId w:val="9"/>
  </w:num>
  <w:num w:numId="11">
    <w:abstractNumId w:val="20"/>
  </w:num>
  <w:num w:numId="12">
    <w:abstractNumId w:val="21"/>
  </w:num>
  <w:num w:numId="13">
    <w:abstractNumId w:val="7"/>
  </w:num>
  <w:num w:numId="14">
    <w:abstractNumId w:val="11"/>
  </w:num>
  <w:num w:numId="15">
    <w:abstractNumId w:val="12"/>
  </w:num>
  <w:num w:numId="16">
    <w:abstractNumId w:val="16"/>
  </w:num>
  <w:num w:numId="17">
    <w:abstractNumId w:val="4"/>
  </w:num>
  <w:num w:numId="18">
    <w:abstractNumId w:val="22"/>
  </w:num>
  <w:num w:numId="19">
    <w:abstractNumId w:val="15"/>
  </w:num>
  <w:num w:numId="20">
    <w:abstractNumId w:val="10"/>
  </w:num>
  <w:num w:numId="21">
    <w:abstractNumId w:val="19"/>
  </w:num>
  <w:num w:numId="22">
    <w:abstractNumId w:val="5"/>
  </w:num>
  <w:num w:numId="23">
    <w:abstractNumId w:val="24"/>
  </w:num>
  <w:num w:numId="24">
    <w:abstractNumId w:val="1"/>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50"/>
    <w:rsid w:val="00032068"/>
    <w:rsid w:val="00066DE3"/>
    <w:rsid w:val="000829EC"/>
    <w:rsid w:val="00092E7C"/>
    <w:rsid w:val="000B618C"/>
    <w:rsid w:val="000E50DE"/>
    <w:rsid w:val="00104EE9"/>
    <w:rsid w:val="001172C4"/>
    <w:rsid w:val="001344A6"/>
    <w:rsid w:val="001471CF"/>
    <w:rsid w:val="00153B08"/>
    <w:rsid w:val="00193750"/>
    <w:rsid w:val="001B5528"/>
    <w:rsid w:val="00221118"/>
    <w:rsid w:val="002329E8"/>
    <w:rsid w:val="00235FFF"/>
    <w:rsid w:val="00241444"/>
    <w:rsid w:val="00274A0E"/>
    <w:rsid w:val="00290289"/>
    <w:rsid w:val="002E2681"/>
    <w:rsid w:val="002F2199"/>
    <w:rsid w:val="002F6CCC"/>
    <w:rsid w:val="0030306D"/>
    <w:rsid w:val="003059AC"/>
    <w:rsid w:val="00324259"/>
    <w:rsid w:val="00333FAE"/>
    <w:rsid w:val="0035427F"/>
    <w:rsid w:val="003971D1"/>
    <w:rsid w:val="003D2BA0"/>
    <w:rsid w:val="003D7E03"/>
    <w:rsid w:val="00422987"/>
    <w:rsid w:val="004775D7"/>
    <w:rsid w:val="00480854"/>
    <w:rsid w:val="00491222"/>
    <w:rsid w:val="0049133D"/>
    <w:rsid w:val="004E6870"/>
    <w:rsid w:val="0050128C"/>
    <w:rsid w:val="005024D3"/>
    <w:rsid w:val="00552016"/>
    <w:rsid w:val="005E1987"/>
    <w:rsid w:val="005F62D8"/>
    <w:rsid w:val="00605391"/>
    <w:rsid w:val="0060604A"/>
    <w:rsid w:val="00625E80"/>
    <w:rsid w:val="006E7315"/>
    <w:rsid w:val="007060B3"/>
    <w:rsid w:val="007312BF"/>
    <w:rsid w:val="00743C40"/>
    <w:rsid w:val="00765316"/>
    <w:rsid w:val="007D4605"/>
    <w:rsid w:val="00812864"/>
    <w:rsid w:val="00817370"/>
    <w:rsid w:val="00851FE5"/>
    <w:rsid w:val="00893A6C"/>
    <w:rsid w:val="008E20D4"/>
    <w:rsid w:val="008E6D3A"/>
    <w:rsid w:val="008F635F"/>
    <w:rsid w:val="009016EE"/>
    <w:rsid w:val="00956E91"/>
    <w:rsid w:val="00964569"/>
    <w:rsid w:val="00992436"/>
    <w:rsid w:val="0099578E"/>
    <w:rsid w:val="009A25B9"/>
    <w:rsid w:val="009B08F3"/>
    <w:rsid w:val="009C2AFA"/>
    <w:rsid w:val="009E1BE7"/>
    <w:rsid w:val="00A0125F"/>
    <w:rsid w:val="00A276DB"/>
    <w:rsid w:val="00A64B8A"/>
    <w:rsid w:val="00A85B31"/>
    <w:rsid w:val="00AF70AC"/>
    <w:rsid w:val="00B062EE"/>
    <w:rsid w:val="00B22AEC"/>
    <w:rsid w:val="00BA097B"/>
    <w:rsid w:val="00BB1D58"/>
    <w:rsid w:val="00BB56ED"/>
    <w:rsid w:val="00BB6DFF"/>
    <w:rsid w:val="00BC594D"/>
    <w:rsid w:val="00BE048C"/>
    <w:rsid w:val="00BF6962"/>
    <w:rsid w:val="00BF72D9"/>
    <w:rsid w:val="00C22E50"/>
    <w:rsid w:val="00C516A8"/>
    <w:rsid w:val="00C607ED"/>
    <w:rsid w:val="00C956B8"/>
    <w:rsid w:val="00C95B79"/>
    <w:rsid w:val="00CB0428"/>
    <w:rsid w:val="00CB17CF"/>
    <w:rsid w:val="00CE7DEF"/>
    <w:rsid w:val="00CE7FA2"/>
    <w:rsid w:val="00CF7E2E"/>
    <w:rsid w:val="00D0101B"/>
    <w:rsid w:val="00D02BB5"/>
    <w:rsid w:val="00D078A2"/>
    <w:rsid w:val="00D1068D"/>
    <w:rsid w:val="00D2113D"/>
    <w:rsid w:val="00D21FAB"/>
    <w:rsid w:val="00D34714"/>
    <w:rsid w:val="00D6142E"/>
    <w:rsid w:val="00D97000"/>
    <w:rsid w:val="00DE477C"/>
    <w:rsid w:val="00DE6198"/>
    <w:rsid w:val="00DE6B63"/>
    <w:rsid w:val="00E03407"/>
    <w:rsid w:val="00E22262"/>
    <w:rsid w:val="00E264CA"/>
    <w:rsid w:val="00E30D49"/>
    <w:rsid w:val="00E55060"/>
    <w:rsid w:val="00E661C6"/>
    <w:rsid w:val="00EA11F7"/>
    <w:rsid w:val="00EB1F1F"/>
    <w:rsid w:val="00F41609"/>
    <w:rsid w:val="00F41746"/>
    <w:rsid w:val="00F56E98"/>
    <w:rsid w:val="00F71ADF"/>
    <w:rsid w:val="00F7747A"/>
    <w:rsid w:val="00F865A7"/>
    <w:rsid w:val="00F9397E"/>
    <w:rsid w:val="00F94766"/>
    <w:rsid w:val="00FB52A6"/>
    <w:rsid w:val="00FE1160"/>
    <w:rsid w:val="00FE1E27"/>
    <w:rsid w:val="00FE45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3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75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93750"/>
  </w:style>
  <w:style w:type="paragraph" w:styleId="Footer">
    <w:name w:val="footer"/>
    <w:basedOn w:val="Normal"/>
    <w:link w:val="FooterChar"/>
    <w:uiPriority w:val="99"/>
    <w:unhideWhenUsed/>
    <w:rsid w:val="0019375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93750"/>
  </w:style>
  <w:style w:type="paragraph" w:styleId="BalloonText">
    <w:name w:val="Balloon Text"/>
    <w:basedOn w:val="Normal"/>
    <w:link w:val="BalloonTextChar"/>
    <w:uiPriority w:val="99"/>
    <w:semiHidden/>
    <w:unhideWhenUsed/>
    <w:rsid w:val="0019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50"/>
    <w:rPr>
      <w:rFonts w:ascii="Tahoma" w:hAnsi="Tahoma" w:cs="Tahoma"/>
      <w:sz w:val="16"/>
      <w:szCs w:val="16"/>
    </w:rPr>
  </w:style>
  <w:style w:type="paragraph" w:customStyle="1" w:styleId="Default">
    <w:name w:val="Default"/>
    <w:rsid w:val="00BB6DF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B6DFF"/>
    <w:pPr>
      <w:spacing w:before="120" w:after="120" w:line="280" w:lineRule="atLeast"/>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F70AC"/>
    <w:rPr>
      <w:color w:val="0000FF" w:themeColor="hyperlink"/>
      <w:u w:val="single"/>
    </w:rPr>
  </w:style>
  <w:style w:type="paragraph" w:styleId="z-BottomofForm">
    <w:name w:val="HTML Bottom of Form"/>
    <w:basedOn w:val="Normal"/>
    <w:next w:val="Normal"/>
    <w:link w:val="z-BottomofFormChar"/>
    <w:hidden/>
    <w:uiPriority w:val="99"/>
    <w:unhideWhenUsed/>
    <w:rsid w:val="00D078A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rsid w:val="00D078A2"/>
    <w:rPr>
      <w:rFonts w:ascii="Arial" w:eastAsia="Times New Roman"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75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93750"/>
  </w:style>
  <w:style w:type="paragraph" w:styleId="Footer">
    <w:name w:val="footer"/>
    <w:basedOn w:val="Normal"/>
    <w:link w:val="FooterChar"/>
    <w:uiPriority w:val="99"/>
    <w:unhideWhenUsed/>
    <w:rsid w:val="0019375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93750"/>
  </w:style>
  <w:style w:type="paragraph" w:styleId="BalloonText">
    <w:name w:val="Balloon Text"/>
    <w:basedOn w:val="Normal"/>
    <w:link w:val="BalloonTextChar"/>
    <w:uiPriority w:val="99"/>
    <w:semiHidden/>
    <w:unhideWhenUsed/>
    <w:rsid w:val="0019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50"/>
    <w:rPr>
      <w:rFonts w:ascii="Tahoma" w:hAnsi="Tahoma" w:cs="Tahoma"/>
      <w:sz w:val="16"/>
      <w:szCs w:val="16"/>
    </w:rPr>
  </w:style>
  <w:style w:type="paragraph" w:customStyle="1" w:styleId="Default">
    <w:name w:val="Default"/>
    <w:rsid w:val="00BB6DF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B6DFF"/>
    <w:pPr>
      <w:spacing w:before="120" w:after="120" w:line="280" w:lineRule="atLeast"/>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F70AC"/>
    <w:rPr>
      <w:color w:val="0000FF" w:themeColor="hyperlink"/>
      <w:u w:val="single"/>
    </w:rPr>
  </w:style>
  <w:style w:type="paragraph" w:styleId="z-BottomofForm">
    <w:name w:val="HTML Bottom of Form"/>
    <w:basedOn w:val="Normal"/>
    <w:next w:val="Normal"/>
    <w:link w:val="z-BottomofFormChar"/>
    <w:hidden/>
    <w:uiPriority w:val="99"/>
    <w:unhideWhenUsed/>
    <w:rsid w:val="00D078A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rsid w:val="00D078A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1578">
      <w:bodyDiv w:val="1"/>
      <w:marLeft w:val="0"/>
      <w:marRight w:val="0"/>
      <w:marTop w:val="0"/>
      <w:marBottom w:val="0"/>
      <w:divBdr>
        <w:top w:val="none" w:sz="0" w:space="0" w:color="auto"/>
        <w:left w:val="none" w:sz="0" w:space="0" w:color="auto"/>
        <w:bottom w:val="none" w:sz="0" w:space="0" w:color="auto"/>
        <w:right w:val="none" w:sz="0" w:space="0" w:color="auto"/>
      </w:divBdr>
    </w:div>
    <w:div w:id="226959860">
      <w:bodyDiv w:val="1"/>
      <w:marLeft w:val="0"/>
      <w:marRight w:val="0"/>
      <w:marTop w:val="0"/>
      <w:marBottom w:val="0"/>
      <w:divBdr>
        <w:top w:val="none" w:sz="0" w:space="0" w:color="auto"/>
        <w:left w:val="none" w:sz="0" w:space="0" w:color="auto"/>
        <w:bottom w:val="none" w:sz="0" w:space="0" w:color="auto"/>
        <w:right w:val="none" w:sz="0" w:space="0" w:color="auto"/>
      </w:divBdr>
    </w:div>
    <w:div w:id="235750935">
      <w:bodyDiv w:val="1"/>
      <w:marLeft w:val="0"/>
      <w:marRight w:val="0"/>
      <w:marTop w:val="0"/>
      <w:marBottom w:val="0"/>
      <w:divBdr>
        <w:top w:val="none" w:sz="0" w:space="0" w:color="auto"/>
        <w:left w:val="none" w:sz="0" w:space="0" w:color="auto"/>
        <w:bottom w:val="none" w:sz="0" w:space="0" w:color="auto"/>
        <w:right w:val="none" w:sz="0" w:space="0" w:color="auto"/>
      </w:divBdr>
    </w:div>
    <w:div w:id="499661446">
      <w:bodyDiv w:val="1"/>
      <w:marLeft w:val="0"/>
      <w:marRight w:val="0"/>
      <w:marTop w:val="0"/>
      <w:marBottom w:val="0"/>
      <w:divBdr>
        <w:top w:val="none" w:sz="0" w:space="0" w:color="auto"/>
        <w:left w:val="none" w:sz="0" w:space="0" w:color="auto"/>
        <w:bottom w:val="none" w:sz="0" w:space="0" w:color="auto"/>
        <w:right w:val="none" w:sz="0" w:space="0" w:color="auto"/>
      </w:divBdr>
    </w:div>
    <w:div w:id="611522681">
      <w:bodyDiv w:val="1"/>
      <w:marLeft w:val="0"/>
      <w:marRight w:val="0"/>
      <w:marTop w:val="0"/>
      <w:marBottom w:val="0"/>
      <w:divBdr>
        <w:top w:val="none" w:sz="0" w:space="0" w:color="auto"/>
        <w:left w:val="none" w:sz="0" w:space="0" w:color="auto"/>
        <w:bottom w:val="none" w:sz="0" w:space="0" w:color="auto"/>
        <w:right w:val="none" w:sz="0" w:space="0" w:color="auto"/>
      </w:divBdr>
      <w:divsChild>
        <w:div w:id="565068821">
          <w:marLeft w:val="547"/>
          <w:marRight w:val="0"/>
          <w:marTop w:val="115"/>
          <w:marBottom w:val="0"/>
          <w:divBdr>
            <w:top w:val="none" w:sz="0" w:space="0" w:color="auto"/>
            <w:left w:val="none" w:sz="0" w:space="0" w:color="auto"/>
            <w:bottom w:val="none" w:sz="0" w:space="0" w:color="auto"/>
            <w:right w:val="none" w:sz="0" w:space="0" w:color="auto"/>
          </w:divBdr>
        </w:div>
        <w:div w:id="1973703651">
          <w:marLeft w:val="547"/>
          <w:marRight w:val="0"/>
          <w:marTop w:val="115"/>
          <w:marBottom w:val="0"/>
          <w:divBdr>
            <w:top w:val="none" w:sz="0" w:space="0" w:color="auto"/>
            <w:left w:val="none" w:sz="0" w:space="0" w:color="auto"/>
            <w:bottom w:val="none" w:sz="0" w:space="0" w:color="auto"/>
            <w:right w:val="none" w:sz="0" w:space="0" w:color="auto"/>
          </w:divBdr>
        </w:div>
        <w:div w:id="1255895456">
          <w:marLeft w:val="547"/>
          <w:marRight w:val="0"/>
          <w:marTop w:val="115"/>
          <w:marBottom w:val="0"/>
          <w:divBdr>
            <w:top w:val="none" w:sz="0" w:space="0" w:color="auto"/>
            <w:left w:val="none" w:sz="0" w:space="0" w:color="auto"/>
            <w:bottom w:val="none" w:sz="0" w:space="0" w:color="auto"/>
            <w:right w:val="none" w:sz="0" w:space="0" w:color="auto"/>
          </w:divBdr>
        </w:div>
        <w:div w:id="1714385311">
          <w:marLeft w:val="547"/>
          <w:marRight w:val="0"/>
          <w:marTop w:val="115"/>
          <w:marBottom w:val="0"/>
          <w:divBdr>
            <w:top w:val="none" w:sz="0" w:space="0" w:color="auto"/>
            <w:left w:val="none" w:sz="0" w:space="0" w:color="auto"/>
            <w:bottom w:val="none" w:sz="0" w:space="0" w:color="auto"/>
            <w:right w:val="none" w:sz="0" w:space="0" w:color="auto"/>
          </w:divBdr>
        </w:div>
        <w:div w:id="843283332">
          <w:marLeft w:val="547"/>
          <w:marRight w:val="0"/>
          <w:marTop w:val="115"/>
          <w:marBottom w:val="0"/>
          <w:divBdr>
            <w:top w:val="none" w:sz="0" w:space="0" w:color="auto"/>
            <w:left w:val="none" w:sz="0" w:space="0" w:color="auto"/>
            <w:bottom w:val="none" w:sz="0" w:space="0" w:color="auto"/>
            <w:right w:val="none" w:sz="0" w:space="0" w:color="auto"/>
          </w:divBdr>
        </w:div>
      </w:divsChild>
    </w:div>
    <w:div w:id="673996181">
      <w:bodyDiv w:val="1"/>
      <w:marLeft w:val="0"/>
      <w:marRight w:val="0"/>
      <w:marTop w:val="0"/>
      <w:marBottom w:val="0"/>
      <w:divBdr>
        <w:top w:val="none" w:sz="0" w:space="0" w:color="auto"/>
        <w:left w:val="none" w:sz="0" w:space="0" w:color="auto"/>
        <w:bottom w:val="none" w:sz="0" w:space="0" w:color="auto"/>
        <w:right w:val="none" w:sz="0" w:space="0" w:color="auto"/>
      </w:divBdr>
    </w:div>
    <w:div w:id="1174226186">
      <w:bodyDiv w:val="1"/>
      <w:marLeft w:val="0"/>
      <w:marRight w:val="0"/>
      <w:marTop w:val="0"/>
      <w:marBottom w:val="0"/>
      <w:divBdr>
        <w:top w:val="none" w:sz="0" w:space="0" w:color="auto"/>
        <w:left w:val="none" w:sz="0" w:space="0" w:color="auto"/>
        <w:bottom w:val="none" w:sz="0" w:space="0" w:color="auto"/>
        <w:right w:val="none" w:sz="0" w:space="0" w:color="auto"/>
      </w:divBdr>
    </w:div>
    <w:div w:id="1314413019">
      <w:bodyDiv w:val="1"/>
      <w:marLeft w:val="0"/>
      <w:marRight w:val="0"/>
      <w:marTop w:val="0"/>
      <w:marBottom w:val="0"/>
      <w:divBdr>
        <w:top w:val="none" w:sz="0" w:space="0" w:color="auto"/>
        <w:left w:val="none" w:sz="0" w:space="0" w:color="auto"/>
        <w:bottom w:val="none" w:sz="0" w:space="0" w:color="auto"/>
        <w:right w:val="none" w:sz="0" w:space="0" w:color="auto"/>
      </w:divBdr>
    </w:div>
    <w:div w:id="1322736621">
      <w:bodyDiv w:val="1"/>
      <w:marLeft w:val="0"/>
      <w:marRight w:val="0"/>
      <w:marTop w:val="0"/>
      <w:marBottom w:val="0"/>
      <w:divBdr>
        <w:top w:val="none" w:sz="0" w:space="0" w:color="auto"/>
        <w:left w:val="none" w:sz="0" w:space="0" w:color="auto"/>
        <w:bottom w:val="none" w:sz="0" w:space="0" w:color="auto"/>
        <w:right w:val="none" w:sz="0" w:space="0" w:color="auto"/>
      </w:divBdr>
    </w:div>
    <w:div w:id="1352683337">
      <w:bodyDiv w:val="1"/>
      <w:marLeft w:val="0"/>
      <w:marRight w:val="0"/>
      <w:marTop w:val="0"/>
      <w:marBottom w:val="0"/>
      <w:divBdr>
        <w:top w:val="none" w:sz="0" w:space="0" w:color="auto"/>
        <w:left w:val="none" w:sz="0" w:space="0" w:color="auto"/>
        <w:bottom w:val="none" w:sz="0" w:space="0" w:color="auto"/>
        <w:right w:val="none" w:sz="0" w:space="0" w:color="auto"/>
      </w:divBdr>
      <w:divsChild>
        <w:div w:id="98571409">
          <w:marLeft w:val="835"/>
          <w:marRight w:val="0"/>
          <w:marTop w:val="480"/>
          <w:marBottom w:val="0"/>
          <w:divBdr>
            <w:top w:val="none" w:sz="0" w:space="0" w:color="auto"/>
            <w:left w:val="none" w:sz="0" w:space="0" w:color="auto"/>
            <w:bottom w:val="none" w:sz="0" w:space="0" w:color="auto"/>
            <w:right w:val="none" w:sz="0" w:space="0" w:color="auto"/>
          </w:divBdr>
        </w:div>
        <w:div w:id="1801000219">
          <w:marLeft w:val="835"/>
          <w:marRight w:val="0"/>
          <w:marTop w:val="240"/>
          <w:marBottom w:val="0"/>
          <w:divBdr>
            <w:top w:val="none" w:sz="0" w:space="0" w:color="auto"/>
            <w:left w:val="none" w:sz="0" w:space="0" w:color="auto"/>
            <w:bottom w:val="none" w:sz="0" w:space="0" w:color="auto"/>
            <w:right w:val="none" w:sz="0" w:space="0" w:color="auto"/>
          </w:divBdr>
        </w:div>
        <w:div w:id="276573000">
          <w:marLeft w:val="835"/>
          <w:marRight w:val="0"/>
          <w:marTop w:val="240"/>
          <w:marBottom w:val="0"/>
          <w:divBdr>
            <w:top w:val="none" w:sz="0" w:space="0" w:color="auto"/>
            <w:left w:val="none" w:sz="0" w:space="0" w:color="auto"/>
            <w:bottom w:val="none" w:sz="0" w:space="0" w:color="auto"/>
            <w:right w:val="none" w:sz="0" w:space="0" w:color="auto"/>
          </w:divBdr>
        </w:div>
        <w:div w:id="23211220">
          <w:marLeft w:val="720"/>
          <w:marRight w:val="0"/>
          <w:marTop w:val="120"/>
          <w:marBottom w:val="0"/>
          <w:divBdr>
            <w:top w:val="none" w:sz="0" w:space="0" w:color="auto"/>
            <w:left w:val="none" w:sz="0" w:space="0" w:color="auto"/>
            <w:bottom w:val="none" w:sz="0" w:space="0" w:color="auto"/>
            <w:right w:val="none" w:sz="0" w:space="0" w:color="auto"/>
          </w:divBdr>
        </w:div>
        <w:div w:id="195967491">
          <w:marLeft w:val="720"/>
          <w:marRight w:val="0"/>
          <w:marTop w:val="120"/>
          <w:marBottom w:val="0"/>
          <w:divBdr>
            <w:top w:val="none" w:sz="0" w:space="0" w:color="auto"/>
            <w:left w:val="none" w:sz="0" w:space="0" w:color="auto"/>
            <w:bottom w:val="none" w:sz="0" w:space="0" w:color="auto"/>
            <w:right w:val="none" w:sz="0" w:space="0" w:color="auto"/>
          </w:divBdr>
        </w:div>
        <w:div w:id="1151482215">
          <w:marLeft w:val="720"/>
          <w:marRight w:val="0"/>
          <w:marTop w:val="120"/>
          <w:marBottom w:val="0"/>
          <w:divBdr>
            <w:top w:val="none" w:sz="0" w:space="0" w:color="auto"/>
            <w:left w:val="none" w:sz="0" w:space="0" w:color="auto"/>
            <w:bottom w:val="none" w:sz="0" w:space="0" w:color="auto"/>
            <w:right w:val="none" w:sz="0" w:space="0" w:color="auto"/>
          </w:divBdr>
        </w:div>
        <w:div w:id="397822138">
          <w:marLeft w:val="720"/>
          <w:marRight w:val="0"/>
          <w:marTop w:val="120"/>
          <w:marBottom w:val="0"/>
          <w:divBdr>
            <w:top w:val="none" w:sz="0" w:space="0" w:color="auto"/>
            <w:left w:val="none" w:sz="0" w:space="0" w:color="auto"/>
            <w:bottom w:val="none" w:sz="0" w:space="0" w:color="auto"/>
            <w:right w:val="none" w:sz="0" w:space="0" w:color="auto"/>
          </w:divBdr>
        </w:div>
        <w:div w:id="1640770949">
          <w:marLeft w:val="720"/>
          <w:marRight w:val="0"/>
          <w:marTop w:val="120"/>
          <w:marBottom w:val="0"/>
          <w:divBdr>
            <w:top w:val="none" w:sz="0" w:space="0" w:color="auto"/>
            <w:left w:val="none" w:sz="0" w:space="0" w:color="auto"/>
            <w:bottom w:val="none" w:sz="0" w:space="0" w:color="auto"/>
            <w:right w:val="none" w:sz="0" w:space="0" w:color="auto"/>
          </w:divBdr>
        </w:div>
      </w:divsChild>
    </w:div>
    <w:div w:id="1450974548">
      <w:bodyDiv w:val="1"/>
      <w:marLeft w:val="0"/>
      <w:marRight w:val="0"/>
      <w:marTop w:val="0"/>
      <w:marBottom w:val="0"/>
      <w:divBdr>
        <w:top w:val="none" w:sz="0" w:space="0" w:color="auto"/>
        <w:left w:val="none" w:sz="0" w:space="0" w:color="auto"/>
        <w:bottom w:val="none" w:sz="0" w:space="0" w:color="auto"/>
        <w:right w:val="none" w:sz="0" w:space="0" w:color="auto"/>
      </w:divBdr>
    </w:div>
    <w:div w:id="1676029785">
      <w:bodyDiv w:val="1"/>
      <w:marLeft w:val="0"/>
      <w:marRight w:val="0"/>
      <w:marTop w:val="0"/>
      <w:marBottom w:val="0"/>
      <w:divBdr>
        <w:top w:val="none" w:sz="0" w:space="0" w:color="auto"/>
        <w:left w:val="none" w:sz="0" w:space="0" w:color="auto"/>
        <w:bottom w:val="none" w:sz="0" w:space="0" w:color="auto"/>
        <w:right w:val="none" w:sz="0" w:space="0" w:color="auto"/>
      </w:divBdr>
      <w:divsChild>
        <w:div w:id="1093665781">
          <w:marLeft w:val="806"/>
          <w:marRight w:val="0"/>
          <w:marTop w:val="180"/>
          <w:marBottom w:val="0"/>
          <w:divBdr>
            <w:top w:val="none" w:sz="0" w:space="0" w:color="auto"/>
            <w:left w:val="none" w:sz="0" w:space="0" w:color="auto"/>
            <w:bottom w:val="none" w:sz="0" w:space="0" w:color="auto"/>
            <w:right w:val="none" w:sz="0" w:space="0" w:color="auto"/>
          </w:divBdr>
        </w:div>
        <w:div w:id="2057121110">
          <w:marLeft w:val="806"/>
          <w:marRight w:val="0"/>
          <w:marTop w:val="180"/>
          <w:marBottom w:val="0"/>
          <w:divBdr>
            <w:top w:val="none" w:sz="0" w:space="0" w:color="auto"/>
            <w:left w:val="none" w:sz="0" w:space="0" w:color="auto"/>
            <w:bottom w:val="none" w:sz="0" w:space="0" w:color="auto"/>
            <w:right w:val="none" w:sz="0" w:space="0" w:color="auto"/>
          </w:divBdr>
        </w:div>
      </w:divsChild>
    </w:div>
    <w:div w:id="1802575423">
      <w:bodyDiv w:val="1"/>
      <w:marLeft w:val="0"/>
      <w:marRight w:val="0"/>
      <w:marTop w:val="0"/>
      <w:marBottom w:val="0"/>
      <w:divBdr>
        <w:top w:val="none" w:sz="0" w:space="0" w:color="auto"/>
        <w:left w:val="none" w:sz="0" w:space="0" w:color="auto"/>
        <w:bottom w:val="none" w:sz="0" w:space="0" w:color="auto"/>
        <w:right w:val="none" w:sz="0" w:space="0" w:color="auto"/>
      </w:divBdr>
    </w:div>
    <w:div w:id="1812209303">
      <w:bodyDiv w:val="1"/>
      <w:marLeft w:val="0"/>
      <w:marRight w:val="0"/>
      <w:marTop w:val="0"/>
      <w:marBottom w:val="0"/>
      <w:divBdr>
        <w:top w:val="none" w:sz="0" w:space="0" w:color="auto"/>
        <w:left w:val="none" w:sz="0" w:space="0" w:color="auto"/>
        <w:bottom w:val="none" w:sz="0" w:space="0" w:color="auto"/>
        <w:right w:val="none" w:sz="0" w:space="0" w:color="auto"/>
      </w:divBdr>
    </w:div>
    <w:div w:id="1911692660">
      <w:bodyDiv w:val="1"/>
      <w:marLeft w:val="0"/>
      <w:marRight w:val="0"/>
      <w:marTop w:val="0"/>
      <w:marBottom w:val="0"/>
      <w:divBdr>
        <w:top w:val="none" w:sz="0" w:space="0" w:color="auto"/>
        <w:left w:val="none" w:sz="0" w:space="0" w:color="auto"/>
        <w:bottom w:val="none" w:sz="0" w:space="0" w:color="auto"/>
        <w:right w:val="none" w:sz="0" w:space="0" w:color="auto"/>
      </w:divBdr>
    </w:div>
    <w:div w:id="1953245494">
      <w:bodyDiv w:val="1"/>
      <w:marLeft w:val="0"/>
      <w:marRight w:val="0"/>
      <w:marTop w:val="0"/>
      <w:marBottom w:val="0"/>
      <w:divBdr>
        <w:top w:val="none" w:sz="0" w:space="0" w:color="auto"/>
        <w:left w:val="none" w:sz="0" w:space="0" w:color="auto"/>
        <w:bottom w:val="none" w:sz="0" w:space="0" w:color="auto"/>
        <w:right w:val="none" w:sz="0" w:space="0" w:color="auto"/>
      </w:divBdr>
    </w:div>
    <w:div w:id="20206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showLinkWin(%20'MostraDocumento?lnk=(021.269/2006-6)%5Bnpro%5D%5Bppub%5D&amp;linkerrorstring=O%20processo%20associado%20a%20esta%20delibera%C3%A7%C3%A3o%20n%C3%A3o%20est%C3%A1%20dispon%C3%ADvel%20na%20base%20de%20processos'%20)" TargetMode="External"/><Relationship Id="rId12" Type="http://schemas.openxmlformats.org/officeDocument/2006/relationships/image" Target="media/image4.gi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tel:017.752%2F2011-6" TargetMode="External"/><Relationship Id="rId9" Type="http://schemas.openxmlformats.org/officeDocument/2006/relationships/hyperlink" Target="tel:017.752%2F2011-6" TargetMode="External"/><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2129</Words>
  <Characters>12139</Characters>
  <Application>Microsoft Macintosh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 Kury</dc:creator>
  <cp:lastModifiedBy>Valeria</cp:lastModifiedBy>
  <cp:revision>2</cp:revision>
  <cp:lastPrinted>2012-05-20T00:01:00Z</cp:lastPrinted>
  <dcterms:created xsi:type="dcterms:W3CDTF">2012-05-21T19:55:00Z</dcterms:created>
  <dcterms:modified xsi:type="dcterms:W3CDTF">2012-05-21T19:55:00Z</dcterms:modified>
</cp:coreProperties>
</file>