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071"/>
        <w:gridCol w:w="1349"/>
        <w:gridCol w:w="540"/>
        <w:gridCol w:w="2868"/>
        <w:tblGridChange w:id="0">
          <w:tblGrid>
            <w:gridCol w:w="5071"/>
            <w:gridCol w:w="1349"/>
            <w:gridCol w:w="540"/>
            <w:gridCol w:w="2868"/>
          </w:tblGrid>
        </w:tblGridChange>
      </w:tblGrid>
      <w:tr>
        <w:trPr>
          <w:cantSplit w:val="0"/>
          <w:trHeight w:val="24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UNIVERSIDADE FEDERAL DO ESTADO DO RIO DE JANEIRO (UNIRIO)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-12699</wp:posOffset>
                  </wp:positionV>
                  <wp:extent cx="855980" cy="855980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8559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CENTRO LETRAS E ARTES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INSTITUTO VILLA-LOBOS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DISCIPLINA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Graduação em Música: Licenciatura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4"/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DEPARTAMENTO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DEM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3"/>
            <w:tcBorders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Arranjo e técnicas instrumentais – III</w:t>
            </w:r>
          </w:p>
        </w:tc>
        <w:tc>
          <w:tcPr>
            <w:tcBorders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SIGLA: ATI -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AEM0003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30 hs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CRÉDITOS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2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PRÉ-REQUISITOS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ATI - II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EMENTA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Estudo de técnicas específicas para criação de </w:t>
            </w:r>
            <w:r w:rsidDel="00000000" w:rsidR="00000000" w:rsidRPr="00000000">
              <w:rPr>
                <w:rFonts w:ascii="Arial" w:cs="Arial" w:eastAsia="Arial" w:hAnsi="Arial"/>
                <w:i w:val="1"/>
                <w:vertAlign w:val="baseline"/>
                <w:rtl w:val="0"/>
              </w:rPr>
              <w:t xml:space="preserve">arranjo musical,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entendido como um conjunto de procedimentos composicionais de estruturação e elaboração musical, tendo como base de estudo gêneros, formas e estilos de música popular brasileira.</w:t>
            </w:r>
          </w:p>
        </w:tc>
      </w:tr>
      <w:tr>
        <w:trPr>
          <w:cantSplit w:val="0"/>
          <w:trHeight w:val="74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OBJETIVOS DA 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Apresentar ao aluno contextos culturais brasileiros diversificados onde a música se faz presente em conjuntos vocais e/ou instrumentais típicos e o arranjo musical é um elemento diferenciador.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Munir o aluno de técnicas específicas para a criação de arranjos para conjuntos musicais em suas diversas formações.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Estimular o aluno a criar arranjos ‘oralmente’, aplicados à prática de conjunto, a partir de melodia cifrada e letra (no caso de canção), consolidando as ideias musicais para a partitura à medida que são experimentadas e fixadas no arranjo.         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Desenvolver a percepção musical crítica do licenciando em música com relação à escolha de repertório, tonalidades adequadas às vozes infantis e juvenis, a ser aplicado no ambiente escolar.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disciplina será ministrada em aulas expositivas e seminários temáticos de arranjo, com participação do aluno em ensaios de PROP, como ouvinte e como regente do seu próprio arranjo (aprox. 4h/a).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CONTEÚDO PROGRAMÁTICO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Estudo de gêneros de música popular urbana (3ª parte). 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Consolidação das técnicas mecânicas de harmonização de melodia em bloco a 5 e 6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vozes.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Introdução às técnicas não mecânicas: harmonização por quartas a 3 e 4 vozes. 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Estudo de técnicas e recursos expressivos dos instrumentos que compõem a banda de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música civil, a banda de frevo, a orquestra de gafieira, 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big-band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Análise de arranjos para orquestras de música brasileira e </w:t>
            </w:r>
            <w:r w:rsidDel="00000000" w:rsidR="00000000" w:rsidRPr="00000000">
              <w:rPr>
                <w:rFonts w:ascii="Arial" w:cs="Arial" w:eastAsia="Arial" w:hAnsi="Arial"/>
                <w:i w:val="1"/>
                <w:vertAlign w:val="baseline"/>
                <w:rtl w:val="0"/>
              </w:rPr>
              <w:t xml:space="preserve">big-band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Projeto: criação de arranjo para cantor (a) solista com acompanhamento de pequena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orquestra de sopros ou da orquestra da disciplina PROP.   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avaliação será feita com base na assiduidade, na apresentação de trabalhos práticos e prova.     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BIBLIOGRAFIA BÁSICA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BENETT, Roy.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Instrumentos da orquestra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Cadernos de Música da Universidade de Cambride. Rio de Janeiro: Zahar Editor, 1985.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GUEST, Ian.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Arranjo – método prático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Volumes 1, 2 e 3. Rio de Janeiro, Lumiar Editora, 1996.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LEME, Bia Paes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arranjos para o Programa O Pessoal da Velha Guarda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São Paulo: Instituto Moreira Salles e Imprensa Oficial do Estado de São, 2010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SCLIAR, Ester.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Fraseologia musical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Porto Alegre: Movimento, 1982.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BIBLIOGRAFIA COMPLEMENTAR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ALMADA, Carlos.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Arranjo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. São Paulo, Editora da Unicamp, 2000.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FARIA, Nelson.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A arte da improvisação: para todos os instrumentos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. Rio de Janeiro: Lumiar Editora, 1991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ADOLFO, Antonio.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O livro do músico: harmonia e improvisação para piano, teclados e outros instrumentos.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Rio de Janeiro: Lumiar, 1989.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CHEDIAK, Almir.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Harmonia e improvisação: 70 músicas harmonizadas e analisadas para violão, guitarra, baixo, teclado. Volumes I e II.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Rio de Janeiro: Lumiar Ed., 1986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CHEDIAK, Almir.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Bossa nova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songbook</w:t>
            </w:r>
            <w:r w:rsidDel="00000000" w:rsidR="00000000" w:rsidRPr="00000000">
              <w:rPr>
                <w:vertAlign w:val="baseline"/>
                <w:rtl w:val="0"/>
              </w:rPr>
              <w:t xml:space="preserve">. Rio de Janeiro: Lumiar Ed., 1994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  <w:color w:val="1111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 responsável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Thiago Trajano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5e5e5e" w:space="0" w:sz="13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__________________________________ </w:t>
            </w:r>
          </w:p>
        </w:tc>
        <w:tc>
          <w:tcPr>
            <w:gridSpan w:val="2"/>
            <w:tcBorders>
              <w:left w:color="000000" w:space="0" w:sz="4" w:val="single"/>
              <w:bottom w:color="5e5e5e" w:space="0" w:sz="13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de junho de 20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–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stiloCentralizadoSuperior:(SimplesAutomática075ptLargur...">
    <w:name w:val="Estilo Centralizado Superior: (Simples Automática  075 pt Largur..."/>
    <w:basedOn w:val="Normal"/>
    <w:next w:val="EstiloCentralizadoSuperior:(SimplesAutomática075ptLargur..."/>
    <w:autoRedefine w:val="0"/>
    <w:hidden w:val="0"/>
    <w:qFormat w:val="0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EstiloSubTítulo1.1+Itálico">
    <w:name w:val="Estilo SubTítulo 1.1 + Itálico"/>
    <w:basedOn w:val="Normal"/>
    <w:next w:val="EstiloSubTítulo1.1+Itálico"/>
    <w:autoRedefine w:val="0"/>
    <w:hidden w:val="0"/>
    <w:qFormat w:val="0"/>
    <w:pPr>
      <w:numPr>
        <w:ilvl w:val="11"/>
        <w:numId w:val="2047"/>
      </w:numPr>
      <w:tabs>
        <w:tab w:val="left" w:leader="none" w:pos="-1985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</w:tabs>
      <w:suppressAutoHyphens w:val="1"/>
      <w:overflowPunct w:val="0"/>
      <w:autoSpaceDE w:val="0"/>
      <w:autoSpaceDN w:val="0"/>
      <w:adjustRightInd w:val="0"/>
      <w:spacing w:line="1" w:lineRule="atLeast"/>
      <w:ind w:left="1276" w:leftChars="-1" w:rightChars="0" w:hanging="283" w:firstLineChars="-1"/>
      <w:jc w:val="both"/>
      <w:textDirection w:val="btLr"/>
      <w:textAlignment w:val="baseline"/>
      <w:outlineLvl w:val="0"/>
    </w:pPr>
    <w:rPr>
      <w:i w:val="1"/>
      <w:i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EstiloTítulo3+Depoisde:6pt">
    <w:name w:val="Estilo Título 3 + Depois de:  6 pt"/>
    <w:basedOn w:val="Título3"/>
    <w:next w:val="EstiloTítulo3+Depoisde:6pt"/>
    <w:autoRedefine w:val="0"/>
    <w:hidden w:val="0"/>
    <w:qFormat w:val="0"/>
    <w:pPr>
      <w:keepNext w:val="1"/>
      <w:numPr>
        <w:ilvl w:val="2"/>
        <w:numId w:val="1"/>
      </w:numPr>
      <w:tabs>
        <w:tab w:val="left" w:leader="none" w:pos="1440"/>
      </w:tabs>
      <w:suppressAutoHyphens w:val="1"/>
      <w:overflowPunct w:val="0"/>
      <w:autoSpaceDE w:val="0"/>
      <w:autoSpaceDN w:val="0"/>
      <w:adjustRightInd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Times New Roman" w:hAnsi="Arial"/>
      <w:b w:val="1"/>
      <w:bCs w:val="1"/>
      <w:w w:val="100"/>
      <w:position w:val="-1"/>
      <w:sz w:val="26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ítulo4Char">
    <w:name w:val="Título 4 Char"/>
    <w:next w:val="Título4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Eli@">
    <w:name w:val="Eli@"/>
    <w:basedOn w:val="Normal"/>
    <w:next w:val="Eli@"/>
    <w:autoRedefine w:val="0"/>
    <w:hidden w:val="0"/>
    <w:qFormat w:val="0"/>
    <w:pPr>
      <w:suppressAutoHyphens w:val="1"/>
      <w:autoSpaceDE w:val="0"/>
      <w:autoSpaceDN w:val="0"/>
      <w:spacing w:line="48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CMwvUjUFV51EvNcEylkqRmuhWw==">CgMxLjA4AHIhMTR5OGoyb0tKckJ2bVBaYUdlUWVQRTdrbC1OWXZDcFVT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2014-04-10T23:02:00Z</dcterms:created>
  <dc:creator>DMP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amento">
    <vt:lpstr>DMP</vt:lpstr>
  </property>
  <property fmtid="{D5CDD505-2E9C-101B-9397-08002B2CF9AE}" pid="3" name="Objetivo">
    <vt:lpstr>Com Base ORDEM DE SERVIÇO PROEG Nº 002, DE 13 MARÇO DE 2000</vt:lpstr>
  </property>
  <property fmtid="{D5CDD505-2E9C-101B-9397-08002B2CF9AE}" pid="4" name="Proprietário">
    <vt:lpstr>Com Base ORDEM DE SERVIÇO PROEG Nº 002, DE 13 MARÇO DE 2000</vt:lpstr>
  </property>
  <property fmtid="{D5CDD505-2E9C-101B-9397-08002B2CF9AE}" pid="5" name="Objetivo">
    <vt:lpwstr>Com Base ORDEM DE SERVIÇO PROEG Nº 002, DE 13 MARÇO DE 2000</vt:lpwstr>
  </property>
  <property fmtid="{D5CDD505-2E9C-101B-9397-08002B2CF9AE}" pid="6" name="Departamento">
    <vt:lpwstr>DMP</vt:lpwstr>
  </property>
  <property fmtid="{D5CDD505-2E9C-101B-9397-08002B2CF9AE}" pid="7" name="Proprietário">
    <vt:lpwstr>Com Base ORDEM DE SERVIÇO PROEG Nº 002, DE 13 MARÇO DE 2000</vt:lpwstr>
  </property>
</Properties>
</file>