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Spec="center" w:tblpY="-344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264"/>
        <w:gridCol w:w="283"/>
        <w:gridCol w:w="7092"/>
      </w:tblGrid>
      <w:tr w:rsidR="00910D78" w:rsidRPr="00A435DF" w14:paraId="44D9DA42" w14:textId="77777777" w:rsidTr="009132DD">
        <w:trPr>
          <w:trHeight w:val="278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A67D" w14:textId="6CBDA1CB" w:rsidR="00910D78" w:rsidRPr="00A435DF" w:rsidRDefault="00910D78" w:rsidP="00843D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1F4D16C" wp14:editId="2DC999E7">
                  <wp:extent cx="3143250" cy="1386514"/>
                  <wp:effectExtent l="0" t="0" r="0" b="4445"/>
                  <wp:docPr id="1879833293" name="Imagem 1" descr="Gráfico, Gráfico de explosão solar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833293" name="Imagem 1" descr="Gráfico, Gráfico de explosão solar&#10;&#10;O conteúdo gerado por IA pode estar incorreto."/>
                          <pic:cNvPicPr/>
                        </pic:nvPicPr>
                        <pic:blipFill rotWithShape="1">
                          <a:blip r:embed="rId5"/>
                          <a:srcRect t="18119" b="1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0774" cy="1389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D78" w:rsidRPr="00A435DF" w14:paraId="29F31398" w14:textId="77777777" w:rsidTr="008D7C08">
        <w:trPr>
          <w:trHeight w:val="47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DBBFD5" w14:textId="2485FEC0" w:rsidR="00910D78" w:rsidRPr="00280A8E" w:rsidRDefault="00910D78" w:rsidP="00BE1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A8E">
              <w:rPr>
                <w:rFonts w:ascii="Arial" w:hAnsi="Arial" w:cs="Arial"/>
                <w:b/>
                <w:sz w:val="20"/>
                <w:szCs w:val="20"/>
              </w:rPr>
              <w:t>NOME DO CURSO</w:t>
            </w:r>
            <w:r w:rsidR="00BE1254" w:rsidRPr="00280A8E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BE1254" w:rsidRPr="00280A8E">
              <w:rPr>
                <w:rFonts w:ascii="Arial" w:hAnsi="Arial" w:cs="Arial"/>
                <w:sz w:val="20"/>
                <w:szCs w:val="20"/>
              </w:rPr>
              <w:t xml:space="preserve">  Biomarcadores em </w:t>
            </w:r>
            <w:proofErr w:type="spellStart"/>
            <w:r w:rsidR="00BE1254" w:rsidRPr="00280A8E">
              <w:rPr>
                <w:rFonts w:ascii="Arial" w:hAnsi="Arial" w:cs="Arial"/>
                <w:sz w:val="20"/>
                <w:szCs w:val="20"/>
              </w:rPr>
              <w:t>Neuroimunologia</w:t>
            </w:r>
            <w:proofErr w:type="spellEnd"/>
          </w:p>
          <w:p w14:paraId="5D6C973E" w14:textId="48A35C17" w:rsidR="00910D78" w:rsidRPr="00280A8E" w:rsidRDefault="00910D78" w:rsidP="008D7C0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0D78" w:rsidRPr="00A435DF" w14:paraId="576946AA" w14:textId="77777777" w:rsidTr="00910D78">
        <w:trPr>
          <w:trHeight w:val="607"/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3B200" w14:textId="77777777" w:rsidR="00910D78" w:rsidRPr="00280A8E" w:rsidRDefault="00910D78" w:rsidP="00910D7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80A8E">
              <w:rPr>
                <w:rFonts w:ascii="Arial" w:hAnsi="Arial" w:cs="Arial"/>
                <w:b/>
                <w:sz w:val="20"/>
                <w:szCs w:val="20"/>
              </w:rPr>
              <w:t xml:space="preserve">CARGA HORÁRIA </w:t>
            </w:r>
          </w:p>
          <w:p w14:paraId="1F1B1B7E" w14:textId="765066FD" w:rsidR="00910D78" w:rsidRPr="00280A8E" w:rsidRDefault="00910D78" w:rsidP="00910D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8A2B" w14:textId="77777777" w:rsidR="00BE1254" w:rsidRPr="00280A8E" w:rsidRDefault="00BE1254" w:rsidP="00BE12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98828" w14:textId="63E87E92" w:rsidR="00910D78" w:rsidRPr="00280A8E" w:rsidRDefault="00BE1254" w:rsidP="00BE1254">
            <w:pPr>
              <w:rPr>
                <w:rFonts w:ascii="Arial" w:hAnsi="Arial" w:cs="Arial"/>
                <w:sz w:val="20"/>
                <w:szCs w:val="20"/>
              </w:rPr>
            </w:pPr>
            <w:r w:rsidRPr="00280A8E">
              <w:rPr>
                <w:rFonts w:ascii="Arial" w:hAnsi="Arial" w:cs="Arial"/>
                <w:sz w:val="20"/>
                <w:szCs w:val="20"/>
              </w:rPr>
              <w:t>30 horas</w:t>
            </w:r>
          </w:p>
        </w:tc>
      </w:tr>
      <w:tr w:rsidR="00843D7C" w:rsidRPr="00A435DF" w14:paraId="5CDD0690" w14:textId="77777777" w:rsidTr="00910D78">
        <w:trPr>
          <w:trHeight w:val="345"/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8C351" w14:textId="77777777" w:rsidR="00843D7C" w:rsidRPr="00280A8E" w:rsidRDefault="00843D7C" w:rsidP="00843D7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80A8E">
              <w:rPr>
                <w:rFonts w:ascii="Arial" w:hAnsi="Arial" w:cs="Arial"/>
                <w:b/>
                <w:sz w:val="20"/>
                <w:szCs w:val="20"/>
              </w:rPr>
              <w:t>PRÉ-REQUISITO (S)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F948" w14:textId="660DDC2F" w:rsidR="00843D7C" w:rsidRPr="00280A8E" w:rsidRDefault="001B0254" w:rsidP="001B02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>Ter cursado as disciplinas de Imunologia e Biologia Molecular.</w:t>
            </w:r>
          </w:p>
        </w:tc>
      </w:tr>
      <w:tr w:rsidR="00843D7C" w:rsidRPr="00A435DF" w14:paraId="70E9743C" w14:textId="77777777" w:rsidTr="00843D7C">
        <w:trPr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C03D" w14:textId="4149872F" w:rsidR="00843D7C" w:rsidRPr="00280A8E" w:rsidRDefault="00843D7C" w:rsidP="00BA1402">
            <w:pPr>
              <w:tabs>
                <w:tab w:val="left" w:pos="2200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80A8E">
              <w:rPr>
                <w:rFonts w:ascii="Arial" w:hAnsi="Arial" w:cs="Arial"/>
                <w:b/>
                <w:sz w:val="20"/>
                <w:szCs w:val="20"/>
              </w:rPr>
              <w:t>EMENTA</w:t>
            </w:r>
            <w:r w:rsidR="00BA1402" w:rsidRPr="00280A8E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</w:p>
          <w:p w14:paraId="27299264" w14:textId="77777777" w:rsidR="00BA1402" w:rsidRPr="00280A8E" w:rsidRDefault="00BA1402" w:rsidP="00BA1402">
            <w:pPr>
              <w:tabs>
                <w:tab w:val="left" w:pos="2200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702E27" w14:textId="1F0FBC61" w:rsidR="00BA1402" w:rsidRPr="00280A8E" w:rsidRDefault="00BA1402" w:rsidP="00BA1402">
            <w:pPr>
              <w:tabs>
                <w:tab w:val="left" w:pos="2200"/>
              </w:tabs>
              <w:snapToGri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Estudo dos fundamentos de imunologia e neurologia aplicados a doenças autoimunes desmielinizantes do SNC. Abordagem de biomarcadores diagnósticos (anti-AQP4,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anti-MOG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) e de monitoramento (inflamação, dano neural), com ênfase em técnicas laboratoriais como ELISA e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Cell-Based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Assay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(CBA). Integração teórico-prática para diagnóstico, estratificação de risco e acompanhamento terapêutico em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neuroimunologia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translacional.</w:t>
            </w:r>
          </w:p>
          <w:p w14:paraId="0A90D288" w14:textId="4150D427" w:rsidR="00843D7C" w:rsidRPr="00280A8E" w:rsidRDefault="00843D7C" w:rsidP="00843D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D7C" w:rsidRPr="00A435DF" w14:paraId="551ACFAC" w14:textId="77777777" w:rsidTr="00843D7C">
        <w:trPr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10EA" w14:textId="77777777" w:rsidR="00843D7C" w:rsidRPr="00280A8E" w:rsidRDefault="00843D7C" w:rsidP="00843D7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80A8E">
              <w:rPr>
                <w:rFonts w:ascii="Arial" w:hAnsi="Arial" w:cs="Arial"/>
                <w:b/>
                <w:sz w:val="20"/>
                <w:szCs w:val="20"/>
              </w:rPr>
              <w:t>OBJETIVO GERAL</w:t>
            </w:r>
          </w:p>
          <w:p w14:paraId="14CF7857" w14:textId="77777777" w:rsidR="00BA1402" w:rsidRPr="00280A8E" w:rsidRDefault="00BA1402" w:rsidP="00843D7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DD8251" w14:textId="1BCBA10C" w:rsidR="00BA1402" w:rsidRPr="00280A8E" w:rsidRDefault="00BA1402" w:rsidP="00BA1402">
            <w:pPr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Capacitar estudantes de graduação na compreensão e aplicação de biomarcadores em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neuroimunologia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, articulando imunologia, virologia e neurologia para diagnóstico e pesquisa em doenças desmielinizantes e encefalites autoimunes.</w:t>
            </w:r>
          </w:p>
          <w:p w14:paraId="411EC93C" w14:textId="54E7AA04" w:rsidR="00843D7C" w:rsidRPr="00280A8E" w:rsidRDefault="00843D7C" w:rsidP="0084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D7C" w:rsidRPr="00A435DF" w14:paraId="0E7572B8" w14:textId="77777777" w:rsidTr="00843D7C">
        <w:trPr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7F49B" w14:textId="77777777" w:rsidR="00BA1402" w:rsidRPr="00280A8E" w:rsidRDefault="00BA1402" w:rsidP="00843D7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9DE144" w14:textId="6B411D8F" w:rsidR="00843D7C" w:rsidRPr="00280A8E" w:rsidRDefault="00843D7C" w:rsidP="00843D7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0A8E">
              <w:rPr>
                <w:rFonts w:ascii="Arial" w:hAnsi="Arial" w:cs="Arial"/>
                <w:b/>
                <w:sz w:val="20"/>
                <w:szCs w:val="20"/>
              </w:rPr>
              <w:t>ABORDAGEM</w:t>
            </w:r>
          </w:p>
          <w:p w14:paraId="43D790C5" w14:textId="63C785B3" w:rsidR="00843D7C" w:rsidRPr="00280A8E" w:rsidRDefault="00843D7C" w:rsidP="0084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A8E">
              <w:rPr>
                <w:rFonts w:ascii="Arial" w:hAnsi="Arial" w:cs="Arial"/>
                <w:sz w:val="20"/>
                <w:szCs w:val="20"/>
              </w:rPr>
              <w:t>(</w:t>
            </w:r>
            <w:r w:rsidR="00BE1254" w:rsidRPr="00280A8E">
              <w:rPr>
                <w:rFonts w:ascii="Arial" w:hAnsi="Arial" w:cs="Arial"/>
                <w:sz w:val="20"/>
                <w:szCs w:val="20"/>
              </w:rPr>
              <w:t>X</w:t>
            </w:r>
            <w:r w:rsidRPr="00280A8E">
              <w:rPr>
                <w:rFonts w:ascii="Arial" w:hAnsi="Arial" w:cs="Arial"/>
                <w:sz w:val="20"/>
                <w:szCs w:val="20"/>
              </w:rPr>
              <w:t>) Teórica</w:t>
            </w:r>
          </w:p>
          <w:p w14:paraId="3FD9AFB5" w14:textId="4D5FEC9E" w:rsidR="00843D7C" w:rsidRPr="00280A8E" w:rsidRDefault="00843D7C" w:rsidP="0084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A8E">
              <w:rPr>
                <w:rFonts w:ascii="Arial" w:hAnsi="Arial" w:cs="Arial"/>
                <w:sz w:val="20"/>
                <w:szCs w:val="20"/>
              </w:rPr>
              <w:t>(</w:t>
            </w:r>
            <w:r w:rsidR="00BE1254" w:rsidRPr="00280A8E">
              <w:rPr>
                <w:rFonts w:ascii="Arial" w:hAnsi="Arial" w:cs="Arial"/>
                <w:sz w:val="20"/>
                <w:szCs w:val="20"/>
              </w:rPr>
              <w:t>X</w:t>
            </w:r>
            <w:r w:rsidRPr="00280A8E">
              <w:rPr>
                <w:rFonts w:ascii="Arial" w:hAnsi="Arial" w:cs="Arial"/>
                <w:sz w:val="20"/>
                <w:szCs w:val="20"/>
              </w:rPr>
              <w:t>) Prática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3515" w14:textId="77777777" w:rsidR="00BA1402" w:rsidRPr="00280A8E" w:rsidRDefault="00BA1402" w:rsidP="00843D7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368567" w14:textId="7E0FA94F" w:rsidR="00843D7C" w:rsidRPr="00280A8E" w:rsidRDefault="00843D7C" w:rsidP="00843D7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0A8E">
              <w:rPr>
                <w:rFonts w:ascii="Arial" w:hAnsi="Arial" w:cs="Arial"/>
                <w:b/>
                <w:sz w:val="20"/>
                <w:szCs w:val="20"/>
              </w:rPr>
              <w:t>PROCEDIMENTOS METODOLÓGICOS</w:t>
            </w:r>
          </w:p>
          <w:p w14:paraId="1E1941F7" w14:textId="77777777" w:rsidR="00BA1402" w:rsidRPr="00280A8E" w:rsidRDefault="00BA1402" w:rsidP="00BA14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E467B4" w14:textId="77777777" w:rsidR="00BA1402" w:rsidRPr="00280A8E" w:rsidRDefault="00BA1402" w:rsidP="00BA1402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line="276" w:lineRule="auto"/>
              <w:ind w:left="172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A8E">
              <w:rPr>
                <w:rFonts w:ascii="Arial" w:hAnsi="Arial" w:cs="Arial"/>
                <w:b/>
                <w:bCs/>
                <w:sz w:val="20"/>
                <w:szCs w:val="20"/>
              </w:rPr>
              <w:t>Teórica</w:t>
            </w:r>
            <w:r w:rsidRPr="00280A8E">
              <w:rPr>
                <w:rFonts w:ascii="Arial" w:hAnsi="Arial" w:cs="Arial"/>
                <w:sz w:val="20"/>
                <w:szCs w:val="20"/>
              </w:rPr>
              <w:t>: Aulas expositivas, discussões de literatura e correlação clínica-laboratorial.</w:t>
            </w:r>
          </w:p>
          <w:p w14:paraId="636B620B" w14:textId="77777777" w:rsidR="00BA1402" w:rsidRPr="00280A8E" w:rsidRDefault="00BA1402" w:rsidP="00BA1402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line="276" w:lineRule="auto"/>
              <w:ind w:left="172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A8E">
              <w:rPr>
                <w:rFonts w:ascii="Arial" w:hAnsi="Arial" w:cs="Arial"/>
                <w:b/>
                <w:bCs/>
                <w:sz w:val="20"/>
                <w:szCs w:val="20"/>
              </w:rPr>
              <w:t>Prática</w:t>
            </w:r>
            <w:r w:rsidRPr="00280A8E">
              <w:rPr>
                <w:rFonts w:ascii="Arial" w:hAnsi="Arial" w:cs="Arial"/>
                <w:sz w:val="20"/>
                <w:szCs w:val="20"/>
              </w:rPr>
              <w:t>: Execução supervisionada de CBA (preparo, incubação, leitura) e ELISA (montagem, controles, análise quantitativa).</w:t>
            </w:r>
          </w:p>
          <w:p w14:paraId="299D314A" w14:textId="77777777" w:rsidR="00BA1402" w:rsidRPr="00280A8E" w:rsidRDefault="00BA1402" w:rsidP="00BA1402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line="276" w:lineRule="auto"/>
              <w:ind w:left="172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A8E">
              <w:rPr>
                <w:rFonts w:ascii="Arial" w:hAnsi="Arial" w:cs="Arial"/>
                <w:b/>
                <w:bCs/>
                <w:sz w:val="20"/>
                <w:szCs w:val="20"/>
              </w:rPr>
              <w:t>Avaliação</w:t>
            </w:r>
            <w:r w:rsidRPr="00280A8E">
              <w:rPr>
                <w:rFonts w:ascii="Arial" w:hAnsi="Arial" w:cs="Arial"/>
                <w:sz w:val="20"/>
                <w:szCs w:val="20"/>
              </w:rPr>
              <w:t>: Participação em práticas (40%), mesa de discussão (30%) e relatório final de interpretação de resultados (30%).</w:t>
            </w:r>
          </w:p>
          <w:p w14:paraId="4FA8814E" w14:textId="7874194A" w:rsidR="00BA1402" w:rsidRPr="00280A8E" w:rsidRDefault="00BA1402" w:rsidP="0084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D7C" w:rsidRPr="00A435DF" w14:paraId="7912A6B4" w14:textId="77777777" w:rsidTr="00843D7C">
        <w:trPr>
          <w:trHeight w:val="555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1B11" w14:textId="77777777" w:rsidR="00BA1402" w:rsidRPr="00280A8E" w:rsidRDefault="00BA1402" w:rsidP="00843D7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EA71A" w14:textId="3EA08012" w:rsidR="00843D7C" w:rsidRPr="00280A8E" w:rsidRDefault="00843D7C" w:rsidP="00843D7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80A8E">
              <w:rPr>
                <w:rFonts w:ascii="Arial" w:hAnsi="Arial" w:cs="Arial"/>
                <w:b/>
                <w:sz w:val="20"/>
                <w:szCs w:val="20"/>
              </w:rPr>
              <w:t>ATIVIDADES DE ENRIQUECIMENTO CURRICULAR</w:t>
            </w:r>
          </w:p>
          <w:p w14:paraId="37B2D5D4" w14:textId="77777777" w:rsidR="00843D7C" w:rsidRPr="00280A8E" w:rsidRDefault="00843D7C" w:rsidP="00843D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0447E" w14:textId="397EDB67" w:rsidR="00BA1402" w:rsidRPr="00280A8E" w:rsidRDefault="00BA1402" w:rsidP="00BA1402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80A8E">
              <w:rPr>
                <w:rFonts w:ascii="Arial" w:hAnsi="Arial" w:cs="Arial"/>
                <w:b/>
                <w:bCs/>
                <w:sz w:val="20"/>
                <w:szCs w:val="20"/>
              </w:rPr>
              <w:t>Mesa de Discussão (Quarta-feira)</w:t>
            </w:r>
            <w:r w:rsidRPr="00280A8E">
              <w:rPr>
                <w:rFonts w:ascii="Arial" w:hAnsi="Arial" w:cs="Arial"/>
                <w:sz w:val="20"/>
                <w:szCs w:val="20"/>
              </w:rPr>
              <w:t>: Integração de casos clínicos reais com resultados de CBA/ELISA para decisões diagnóstico-terapêuticas.</w:t>
            </w:r>
            <w:r w:rsidRPr="00280A8E">
              <w:rPr>
                <w:rFonts w:ascii="Arial" w:hAnsi="Arial" w:cs="Arial"/>
                <w:sz w:val="20"/>
                <w:szCs w:val="20"/>
              </w:rPr>
              <w:br/>
              <w:t>​</w:t>
            </w:r>
          </w:p>
          <w:p w14:paraId="57A06592" w14:textId="1898D061" w:rsidR="00BA1402" w:rsidRPr="00280A8E" w:rsidRDefault="00BA1402" w:rsidP="00BA1402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80A8E">
              <w:rPr>
                <w:rFonts w:ascii="Arial" w:hAnsi="Arial" w:cs="Arial"/>
                <w:b/>
                <w:bCs/>
                <w:sz w:val="20"/>
                <w:szCs w:val="20"/>
              </w:rPr>
              <w:t>Experimentação</w:t>
            </w:r>
            <w:r w:rsidRPr="00280A8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80A8E">
              <w:rPr>
                <w:rFonts w:ascii="Arial" w:hAnsi="Arial" w:cs="Arial"/>
                <w:sz w:val="20"/>
                <w:szCs w:val="20"/>
              </w:rPr>
              <w:br/>
              <w:t xml:space="preserve">- Ensaios de CBA para detecção de anti-AQP4 e </w:t>
            </w: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anti-MOG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>, com interpretação em microscopia de fluorescência.​</w:t>
            </w:r>
            <w:r w:rsidRPr="00280A8E">
              <w:rPr>
                <w:rFonts w:ascii="Arial" w:hAnsi="Arial" w:cs="Arial"/>
                <w:sz w:val="20"/>
                <w:szCs w:val="20"/>
              </w:rPr>
              <w:br/>
            </w:r>
          </w:p>
          <w:p w14:paraId="3BDA3F79" w14:textId="52B3C0CE" w:rsidR="00BA1402" w:rsidRPr="00280A8E" w:rsidRDefault="00BA1402" w:rsidP="00BA1402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80A8E">
              <w:rPr>
                <w:rFonts w:ascii="Arial" w:hAnsi="Arial" w:cs="Arial"/>
                <w:sz w:val="20"/>
                <w:szCs w:val="20"/>
              </w:rPr>
              <w:t>- Ensaios de ELISA para detecção de antígenos e anticorpos, com leitura no equipamento e interpretação da quantificação.</w:t>
            </w:r>
            <w:r w:rsidRPr="00280A8E">
              <w:rPr>
                <w:rFonts w:ascii="Arial" w:hAnsi="Arial" w:cs="Arial"/>
                <w:sz w:val="20"/>
                <w:szCs w:val="20"/>
              </w:rPr>
              <w:br/>
            </w:r>
          </w:p>
          <w:p w14:paraId="3F657D09" w14:textId="77777777" w:rsidR="00BA1402" w:rsidRPr="00280A8E" w:rsidRDefault="00BA1402" w:rsidP="00BA1402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80A8E">
              <w:rPr>
                <w:rFonts w:ascii="Arial" w:hAnsi="Arial" w:cs="Arial"/>
                <w:b/>
                <w:bCs/>
                <w:sz w:val="20"/>
                <w:szCs w:val="20"/>
              </w:rPr>
              <w:t>Seminário Interativo</w:t>
            </w:r>
            <w:r w:rsidRPr="00280A8E">
              <w:rPr>
                <w:rFonts w:ascii="Arial" w:hAnsi="Arial" w:cs="Arial"/>
                <w:sz w:val="20"/>
                <w:szCs w:val="20"/>
              </w:rPr>
              <w:t xml:space="preserve">: Apresentação de </w:t>
            </w: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papers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 xml:space="preserve"> recentes sobre biomarcadores em encefalites autoimunes (EA), com debate em grupo</w:t>
            </w:r>
          </w:p>
          <w:p w14:paraId="0F1D7B5F" w14:textId="2A220D3F" w:rsidR="00BA1402" w:rsidRPr="00280A8E" w:rsidRDefault="00BA1402" w:rsidP="00843D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D7C" w:rsidRPr="008B617D" w14:paraId="11C22CDF" w14:textId="77777777" w:rsidTr="00843D7C">
        <w:trPr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3443" w14:textId="77777777" w:rsidR="00843D7C" w:rsidRPr="00280A8E" w:rsidRDefault="00843D7C" w:rsidP="00843D7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80A8E">
              <w:rPr>
                <w:rFonts w:ascii="Arial" w:hAnsi="Arial" w:cs="Arial"/>
                <w:b/>
                <w:sz w:val="20"/>
                <w:szCs w:val="20"/>
              </w:rPr>
              <w:lastRenderedPageBreak/>
              <w:t>BIBLIOGRAFIA BÁSICA</w:t>
            </w:r>
            <w:r w:rsidRPr="00280A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F34588" w14:textId="77777777" w:rsidR="00843D7C" w:rsidRPr="00280A8E" w:rsidRDefault="00843D7C" w:rsidP="00910D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94C23A" w14:textId="6B55B2CA" w:rsidR="00BA1402" w:rsidRPr="00280A8E" w:rsidRDefault="00BA1402" w:rsidP="00BA1402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280A8E">
              <w:rPr>
                <w:rFonts w:ascii="Arial" w:hAnsi="Arial" w:cs="Arial"/>
                <w:sz w:val="20"/>
                <w:szCs w:val="20"/>
              </w:rPr>
              <w:t xml:space="preserve">ABBAS, Abul K.; LICHTMAN, Andrew H.; PILLAI, </w:t>
            </w: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Shiv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>. </w:t>
            </w:r>
            <w:r w:rsidRPr="00280A8E">
              <w:rPr>
                <w:rFonts w:ascii="Arial" w:hAnsi="Arial" w:cs="Arial"/>
                <w:i/>
                <w:iCs/>
                <w:sz w:val="20"/>
                <w:szCs w:val="20"/>
              </w:rPr>
              <w:t>Imunologia básica: funções e distúrbios do sistema imunológico</w:t>
            </w:r>
            <w:r w:rsidRPr="00280A8E">
              <w:rPr>
                <w:rFonts w:ascii="Arial" w:hAnsi="Arial" w:cs="Arial"/>
                <w:sz w:val="20"/>
                <w:szCs w:val="20"/>
              </w:rPr>
              <w:t>. 7. ed. Rio de Janeiro: Guanabara Koogan, 2025.</w:t>
            </w:r>
          </w:p>
          <w:p w14:paraId="16A57C33" w14:textId="717C98C2" w:rsidR="00BA1402" w:rsidRPr="00280A8E" w:rsidRDefault="00BA1402" w:rsidP="00BA1402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Hoffman-La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 xml:space="preserve"> Roche Ltd. Continuum: </w:t>
            </w: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Lifelong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 xml:space="preserve"> Learning in </w:t>
            </w: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Neurology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>—</w:t>
            </w: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Neurology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Dementia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>. </w:t>
            </w:r>
            <w:r w:rsidRPr="00280A8E">
              <w:rPr>
                <w:rFonts w:ascii="Arial" w:hAnsi="Arial" w:cs="Arial"/>
                <w:i/>
                <w:iCs/>
                <w:sz w:val="20"/>
                <w:szCs w:val="20"/>
              </w:rPr>
              <w:t>Continuum (</w:t>
            </w:r>
            <w:proofErr w:type="spellStart"/>
            <w:r w:rsidRPr="00280A8E">
              <w:rPr>
                <w:rFonts w:ascii="Arial" w:hAnsi="Arial" w:cs="Arial"/>
                <w:i/>
                <w:iCs/>
                <w:sz w:val="20"/>
                <w:szCs w:val="20"/>
              </w:rPr>
              <w:t>Minneap</w:t>
            </w:r>
            <w:proofErr w:type="spellEnd"/>
            <w:r w:rsidRPr="00280A8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i/>
                <w:iCs/>
                <w:sz w:val="20"/>
                <w:szCs w:val="20"/>
              </w:rPr>
              <w:t>Minn</w:t>
            </w:r>
            <w:proofErr w:type="spellEnd"/>
            <w:r w:rsidRPr="00280A8E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280A8E">
              <w:rPr>
                <w:rFonts w:ascii="Arial" w:hAnsi="Arial" w:cs="Arial"/>
                <w:sz w:val="20"/>
                <w:szCs w:val="20"/>
              </w:rPr>
              <w:t xml:space="preserve">. 2022 </w:t>
            </w: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Jun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 xml:space="preserve"> 1;28(3):834–851. </w:t>
            </w: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>: 10.1212/CON.0000000000001137. </w:t>
            </w:r>
          </w:p>
          <w:p w14:paraId="39E6D7A0" w14:textId="22573B37" w:rsidR="00F522E6" w:rsidRPr="00280A8E" w:rsidRDefault="00F522E6" w:rsidP="00BA1402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280A8E">
              <w:rPr>
                <w:rFonts w:ascii="Arial" w:hAnsi="Arial" w:cs="Arial"/>
                <w:sz w:val="20"/>
                <w:szCs w:val="20"/>
              </w:rPr>
              <w:t xml:space="preserve">ROPPER, Allan H.; SAMUELS, Martin A.; KLEIN, Joshua P.; PRASAD, </w:t>
            </w: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Sashank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 xml:space="preserve">. Adams </w:t>
            </w: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Victor's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sz w:val="20"/>
                <w:szCs w:val="20"/>
              </w:rPr>
              <w:t>Neurology</w:t>
            </w:r>
            <w:proofErr w:type="spellEnd"/>
            <w:r w:rsidRPr="00280A8E">
              <w:rPr>
                <w:rFonts w:ascii="Arial" w:hAnsi="Arial" w:cs="Arial"/>
                <w:sz w:val="20"/>
                <w:szCs w:val="20"/>
              </w:rPr>
              <w:t>. 12. ed. New York: McGraw Hill, 2023.</w:t>
            </w:r>
          </w:p>
          <w:p w14:paraId="259CF726" w14:textId="7762EF4E" w:rsidR="00BA1402" w:rsidRPr="00280A8E" w:rsidRDefault="00BA1402" w:rsidP="00910D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3D7C" w:rsidRPr="00A435DF" w14:paraId="1362FBCA" w14:textId="77777777" w:rsidTr="00843D7C">
        <w:trPr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261A" w14:textId="77777777" w:rsidR="00843D7C" w:rsidRPr="00280A8E" w:rsidRDefault="00843D7C" w:rsidP="00843D7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80A8E">
              <w:rPr>
                <w:rFonts w:ascii="Arial" w:hAnsi="Arial" w:cs="Arial"/>
                <w:b/>
                <w:sz w:val="20"/>
                <w:szCs w:val="20"/>
              </w:rPr>
              <w:t>BIBLIOGRAFIA COMPLEMENTAR</w:t>
            </w:r>
          </w:p>
          <w:p w14:paraId="307108FA" w14:textId="77777777" w:rsidR="00F522E6" w:rsidRPr="00280A8E" w:rsidRDefault="00F522E6" w:rsidP="00D36C6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23A376" w14:textId="4C980E7D" w:rsidR="001B0254" w:rsidRPr="00280A8E" w:rsidRDefault="001B0254" w:rsidP="00D36C6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Banwell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B, Bennett JL,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Marignier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R, Kim HJ,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Brilot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F, Flanagan EP,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Ramanathan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S, Waters P,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Tenembaum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S, Graves JS,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Chitnis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T, Brandt AU, Hemingway C,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Neuteboom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R,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Pandit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L,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Reindl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M,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Saiz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A, Sato DK,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Rostasy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K, Paul F,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Pittock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SJ,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Fujihara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K, Palace J.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Diagnosis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myelin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oligodendrocyte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glycoprotein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antibody-associated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disease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International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MOGAD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Panel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proposed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criteria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. Lancet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Neurol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. 2023 Mar;22(3):268-282.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doi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: 10.1016/S1474-4422(22)00431-8.</w:t>
            </w:r>
          </w:p>
          <w:p w14:paraId="300EEC2B" w14:textId="77777777" w:rsidR="001B0254" w:rsidRPr="00280A8E" w:rsidRDefault="001B0254" w:rsidP="00D36C6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B4E6D7" w14:textId="0AFCD27C" w:rsidR="00D36C68" w:rsidRPr="00280A8E" w:rsidRDefault="00D36C68" w:rsidP="00D36C6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COUTINHO-COSTA, VINICIUS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GABRIEL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MATIAS,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ISADORA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FERNANDES, RENAN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AMPHILOPHIO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SIQUEIRA,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MICHELE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DUARTE, LARISSA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ARAUJO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FERNANDES, BEATRIZ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MARTINS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DE SOUZA, JORGE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MARCONDES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 Alves-Leon,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Soniza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Vieira 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 GOMES, FLÁVIA CARVALHO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ALCANTARA .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Serum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Aquaporin-4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Antibody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Status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TGF-β in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Neuromyelitis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Optica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Spectrum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Disorder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Impact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Astrocyte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Function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Correlation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Disease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Activity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Severity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. NEUROLOGY INTERNATIONAL, v. 17, p. 200, 2025.</w:t>
            </w:r>
          </w:p>
          <w:p w14:paraId="6891E1C8" w14:textId="6CFCB489" w:rsidR="00D36C68" w:rsidRPr="00280A8E" w:rsidRDefault="00D36C68" w:rsidP="00D36C6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D3833" w14:textId="77777777" w:rsidR="001B0254" w:rsidRPr="00280A8E" w:rsidRDefault="001B0254" w:rsidP="00D36C6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480CF3" w14:textId="3D09AC49" w:rsidR="001B0254" w:rsidRPr="00280A8E" w:rsidRDefault="001B0254" w:rsidP="00D36C6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Bruijn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, M. A. A. M.,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Leypoldt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, F.,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Dalmau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, J., Lee, S. T.,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Honnorat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, J.,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Clardy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, S. L., Irani, S. R., Easton, A.,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Kunchok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, A., &amp;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Titulaer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, M. J. (2025). 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Autoimmune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encephalitis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. </w:t>
            </w:r>
            <w:proofErr w:type="spellStart"/>
            <w:r w:rsidRPr="00280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Nature</w:t>
            </w:r>
            <w:proofErr w:type="spellEnd"/>
            <w:r w:rsidRPr="00280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Reviews </w:t>
            </w:r>
            <w:proofErr w:type="spellStart"/>
            <w:r w:rsidRPr="00280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Disease</w:t>
            </w:r>
            <w:proofErr w:type="spellEnd"/>
            <w:r w:rsidRPr="00280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Primers</w:t>
            </w:r>
            <w:r w:rsidRPr="00280A8E">
              <w:rPr>
                <w:rFonts w:ascii="Arial" w:hAnsi="Arial" w:cs="Arial"/>
                <w:bCs/>
                <w:sz w:val="20"/>
                <w:szCs w:val="20"/>
              </w:rPr>
              <w:t>, </w:t>
            </w:r>
            <w:r w:rsidRPr="00280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</w:t>
            </w: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(1),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Article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65. https://doi.org/10.1038/s41572-025-00650-1</w:t>
            </w:r>
          </w:p>
          <w:p w14:paraId="1CAC8350" w14:textId="77777777" w:rsidR="001B0254" w:rsidRPr="00280A8E" w:rsidRDefault="001B0254" w:rsidP="00D36C6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BE9437" w14:textId="211779E8" w:rsidR="00436ED3" w:rsidRPr="00280A8E" w:rsidRDefault="00436ED3" w:rsidP="00D36C6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FLANAGAN,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Eoin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P. (ed.).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Autoimmune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Neurology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. Continuum: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Lifelong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Learning in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Neurology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, Minneapolis, v. 30, n. 4, ago. 2024</w:t>
            </w:r>
          </w:p>
          <w:p w14:paraId="7F49A84F" w14:textId="77777777" w:rsidR="00436ED3" w:rsidRPr="00280A8E" w:rsidRDefault="00436ED3" w:rsidP="00D36C6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A9E041" w14:textId="7626D4CC" w:rsidR="00D36C68" w:rsidRPr="00280A8E" w:rsidRDefault="00D36C68" w:rsidP="00D36C6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FRANÇA, LAISE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CAROLINA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FONTES-DANTAS, FABRÍCIA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LIMA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GARCIA, DIOGO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GOMES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DE ARAÚJO, AMANDA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DUTRA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DA COSTA GONÇALVES, JOÃO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PAULO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RÊGO, CLÁUDIA CECÍLIA DA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SILVA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DA SILVA, ELIELSON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VELOSO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DO NASCIMENTO, OSVALDO JOSÉ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MOREIRA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LOPES, FERNANDA CRISTINA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RUEDA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HERLINGER, ALICE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LASCHUK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DE AGUIAR, RENATO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SANTANA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DA COSTA FERREIRA JUNIOR,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ORLANDO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FIGUEIRA, FERNANDO FARIA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ANDRADE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DE SOUZA, JORGE PAES BARRETO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MARCONDES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DE MESQUITA, JOELMA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FREIRE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 Alves-Leon,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Soniza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Vieira .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Molecular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mimicry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between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Zika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virus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central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nervous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system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inflammatory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demyelinating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disorders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role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NS5 Zika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virus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epitope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PLP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autoantigens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. ARQUIVOS DE NEURO-PSIQUIATRIA, v. 81, p. 357-368, 2023.</w:t>
            </w:r>
          </w:p>
          <w:p w14:paraId="23557018" w14:textId="77777777" w:rsidR="00D36C68" w:rsidRPr="00280A8E" w:rsidRDefault="00D36C68" w:rsidP="00D36C6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47AA1E" w14:textId="6C447B3B" w:rsidR="00D36C68" w:rsidRPr="00280A8E" w:rsidRDefault="00D36C68" w:rsidP="00D36C6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GUTMAN, ELISA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GOUVEA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FERNANDES, RENAN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AMPHILOPHIO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RAPOSO-VEDOVI, JÉSSICA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VASQUES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SALVIO, ANDREZA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LEMOS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DUARTE, LARISSA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ARAUJO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TARDIM, CAIO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FARIA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COSTA, VINICIUS GABRIEL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COUTINHO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PEREIRA, VALÉRIA COELHO SANTA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RITA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 BAHIA, PAULO ROBERTO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VALLE 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DA SILVA, MARCOS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MARTINS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FONTES-DANTAS, FABRÍCIA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LIMA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 Alves-Leon,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Soniza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Vieira .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Molecular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Mimicry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between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SARS-CoV-2 Proteins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Human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Self-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Antigens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Related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Autoimmune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Central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Nervous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System (CNS)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Disorders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Microorganisms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, v. 11, p. 2902, 2023</w:t>
            </w:r>
          </w:p>
          <w:p w14:paraId="56D0237D" w14:textId="175474E3" w:rsidR="00D36C68" w:rsidRPr="00280A8E" w:rsidRDefault="00D36C68" w:rsidP="00D36C6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8FADC4" w14:textId="1A386CF0" w:rsidR="00D36C68" w:rsidRPr="00280A8E" w:rsidRDefault="00D36C68" w:rsidP="00D36C6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GUTMAN, ELISA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GOUVEA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SALVIO, ANDREZA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LEMOS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FERNANDES, RENAN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AMPHILOPHIO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DUARTE, LARISSA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ARAUJO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RAPOSO-VEDOVI, JESSICA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VASQUES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ALCARAZ, HELENA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FRANÇA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TEIXEIRA, MILENE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ATAÍDE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PASSOS, GISELLE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FAZZIONI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DE MEDEIROS, KAROLINE QUEIROZ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MUNIZ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HAMMERLE, MARIANA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BEIRAL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PIRES, KARINA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LEBEIS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VASCONCELOS, CLAUDIA CRISTINA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FERREIRA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LEON, LUCIANE ALMEIDA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AMADO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FIGUEIREDO, CLÁUDIA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PINTO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 Alves-Leon,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Soniza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Vieira .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Long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COVID: plasma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levels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neurofilament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light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chain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mild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COVID-19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patients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neurocognitive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symptoms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. MOLECULAR PSYCHIATRY, v. 1, p. 1-10, 2024. </w:t>
            </w:r>
          </w:p>
          <w:p w14:paraId="5E3F3276" w14:textId="77777777" w:rsidR="001B0254" w:rsidRPr="00280A8E" w:rsidRDefault="001B0254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7AC190" w14:textId="2BDD72E9" w:rsidR="00436ED3" w:rsidRPr="00280A8E" w:rsidRDefault="00436ED3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MIRASOL FORCADELA, Chiara et al. Timing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MOG-IgG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testing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is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key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2023 MOGAD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diagnostic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criteria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. </w:t>
            </w:r>
            <w:proofErr w:type="spellStart"/>
            <w:r w:rsidRPr="00280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Neurology</w:t>
            </w:r>
            <w:proofErr w:type="spellEnd"/>
            <w:r w:rsidRPr="00280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280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Neuroimmunology</w:t>
            </w:r>
            <w:proofErr w:type="spellEnd"/>
            <w:r w:rsidRPr="00280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Pr="00280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Neuroinflammation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, [S. l.], v. 11, p. e200183, 2024. DOI: 10.1212/NXI.0000000000200183.</w:t>
            </w:r>
          </w:p>
          <w:p w14:paraId="06E588F5" w14:textId="77777777" w:rsidR="001B0254" w:rsidRPr="00280A8E" w:rsidRDefault="001B0254" w:rsidP="001B02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C3CBAA" w14:textId="77777777" w:rsidR="001B0254" w:rsidRPr="00280A8E" w:rsidRDefault="001B0254" w:rsidP="001B02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Levy M.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Immune-Mediated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Myelopathies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. Continuum (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Minneap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Minn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). 2024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Feb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1;30(1):180-198.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doi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: 10.1212/CON.0000000000001382. </w:t>
            </w:r>
          </w:p>
          <w:p w14:paraId="1C6218EE" w14:textId="77777777" w:rsidR="00D36C68" w:rsidRPr="00280A8E" w:rsidRDefault="00D36C68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961389" w14:textId="77777777" w:rsidR="001B0254" w:rsidRPr="00280A8E" w:rsidRDefault="001B0254" w:rsidP="001B02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Lublin FD,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Häring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DA,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Ganjgahi</w:t>
            </w:r>
            <w:proofErr w:type="spellEnd"/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H, Ocampo A,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Hatami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Čuklina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J,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Aarden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P,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Dahlke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F, Arnold DL,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Wiendl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H,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Chitnis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T, Nichols TE,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Kieseier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BC,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Bermel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RA.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How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patients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multiple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sclerosis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acquire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disability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Brain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. 2022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Sep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14;145(9):3147-3161.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doi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: 10.1093/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brain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/awac016. </w:t>
            </w:r>
          </w:p>
          <w:p w14:paraId="4FB0ED8D" w14:textId="77777777" w:rsidR="001B0254" w:rsidRPr="00280A8E" w:rsidRDefault="001B0254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676BDF" w14:textId="1EDE22FA" w:rsidR="001B0254" w:rsidRPr="00280A8E" w:rsidRDefault="001B0254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>Montalban X, Lebrun-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Frénay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C, Oh J,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Arrambide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G,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Moccia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M, Pia Amato M,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Amezcua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L,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Banwell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B,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Bar-Or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A,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Barkhof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Butzkueven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H,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Ciccarelli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O,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Chataway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J, Cohen JA, Comi G,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Correale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J,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Deisenhammer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F, Filippi M, Fiol J,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Freedman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MS,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Fujihara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K,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Granziera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C, Green AJ, Hartung HP,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Hellwig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K,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Kappos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L,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Kimbrough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Killestein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J, Lublin F,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Marignier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R, Ann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Marrie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R, Miller A, Otero-Romero S,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Ontaneda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Ramanathan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S, Reich D, Rocca MA, Rovira À,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Saidha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Salter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A, Sastre-Garriga J,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Saylor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Solomon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AJ, Sormani MP,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Stankoff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B,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Tintore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M,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Tremlett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H, Van der Walt A,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Viswanathan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Wiendl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H,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Wildemann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B,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Yamout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B,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Zaratin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P, Calabresi PA, Coetzee T, Thompson AJ.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Diagnosis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multiple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sclerosis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: 2024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revisions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McDonald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criteria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. Lancet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Neurol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. 2025 Oct;24(10):850-865.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doi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: 10.1016/S1474-4422(25)00270-4.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Erratum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in: Lancet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Neurol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. 2025 Nov;24(11):e13.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doi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: 10.1016/S1474-4422(25)00355-2. </w:t>
            </w:r>
          </w:p>
          <w:p w14:paraId="7F5DE6CD" w14:textId="77777777" w:rsidR="001B0254" w:rsidRPr="00280A8E" w:rsidRDefault="001B0254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9203A6" w14:textId="4786F4BA" w:rsidR="00436ED3" w:rsidRPr="00280A8E" w:rsidRDefault="00436ED3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MOSELEY, Carson E.; VIRUPAKSHAIAH,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Akash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; FORSTHUBER, Thomas G.; STEINMAN, Lawrence; WAUBANT, Emmanuelle; ZAMVIL, Scott S. MOG CNS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autoimmunity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MOGAD. </w:t>
            </w:r>
            <w:proofErr w:type="spellStart"/>
            <w:r w:rsidRPr="00280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Neurology</w:t>
            </w:r>
            <w:proofErr w:type="spellEnd"/>
            <w:r w:rsidRPr="00280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280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Neuroimmunology</w:t>
            </w:r>
            <w:proofErr w:type="spellEnd"/>
            <w:r w:rsidRPr="00280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Pr="00280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Neuroinflammation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, [S. l.], v. 11, p. e200275, 2024. DOI: 10.1212/NXI.0000000000200275.</w:t>
            </w:r>
          </w:p>
          <w:p w14:paraId="55C199D4" w14:textId="77777777" w:rsidR="00436ED3" w:rsidRPr="00280A8E" w:rsidRDefault="00436ED3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55DD2F" w14:textId="77777777" w:rsidR="001B0254" w:rsidRPr="00280A8E" w:rsidRDefault="001B0254" w:rsidP="001B02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SALVIO, ANDREZA LEMOS ; FERNANDES, RENAN AMPHILOPHIO ; FERREIRA, HELENA FRANÇA ALCARAZ ; DUARTE, LARISSA ARAUJO ; GUTMAN, ELISA GOUVEA ; RAPOSO-VEDOVI, JESSICA VASQUES ; FILHO, CARLOS HENRIQUE FERREIRA RAMOS ; DA COSTA NUNES PIMENTEL COELHO, WAGNER LUIS ; PASSOS, GISELLE FAZZIONI ; ANDRAUS, MARIA EMÍLIA COSENZA ; DA COSTA GONÇALVES, JOÃO PAULO ; CAVALCANTI, MARTA GUIMARÃES ; AMARO, MARISA PIMENTEL ; KADER, RAFAEL ; DE ANDRADE MEDRONHO, ROBERTO ; FIGUEIREDO, CLÁUDIA PINTO ; AMADO-LEON, LUCIANE ALMEIDA ; Alves-Leon,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Soniza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Vieira . High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Levels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NfL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, GFAP, TAU,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UCH-L1 as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Potential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Predictor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Biomarkers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Severity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Lethality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Acute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COVID-19. MOLECULAR NEUROBIOLOGY, v. x, p. 1-14, 2023.</w:t>
            </w:r>
          </w:p>
          <w:p w14:paraId="6642CDC9" w14:textId="77777777" w:rsidR="001B0254" w:rsidRPr="00280A8E" w:rsidRDefault="001B0254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1D91FF" w14:textId="09E1B95C" w:rsidR="00D36C68" w:rsidRPr="00280A8E" w:rsidRDefault="00D36C68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SELLES, MARIA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CLARA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FORTUNA, JULIANA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T.S.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CERCATO, MAGALI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C.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SANTOS, LUIS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EDUARDO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DOMETT,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LUCIANA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BITENCOURT, ANDRE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L.B.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CARRARO, MARIANE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FAVERO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SOUZA, AMANDA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S.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JANICKOVA,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HELENA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AZEVEDO, CAROLINE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VIEIRA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CAMPOS, HENRIQUE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CORREIA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DE SOUZA, JORGE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M.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 Alves-Leon, </w:t>
            </w:r>
            <w:proofErr w:type="spellStart"/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Soniza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 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PRADO, VANIA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F.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PRADO, MARCO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A.M.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EPSTEIN, ALBERTO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L.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SALVETTI,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ANNA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LONGO, BEATRIZ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MONTEIRO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ARANCIO,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OTTAVIO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KLEIN, WILLIAM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L.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et.al .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AAV-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mediated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neuronal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expression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scFv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antibody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selective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for Aβ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oligomers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protects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synapses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rescues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memory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in Alzheimer models. MOLECULAR THERAPY, v.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xx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, p. 1, 2022</w:t>
            </w:r>
          </w:p>
          <w:p w14:paraId="0781DFA8" w14:textId="77777777" w:rsidR="00D36C68" w:rsidRPr="00280A8E" w:rsidRDefault="00D36C68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27ADA9" w14:textId="7983723F" w:rsidR="00436ED3" w:rsidRPr="00280A8E" w:rsidRDefault="00436ED3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VARLEY, James A.; CHAMPSAS, Dimitrios; PROSSOR, Timothy; PONTILLO, Giuseppe; ABDEL-MANNAN, Omar; KHALEELI,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Zhaleh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; PETZOLD, Axel; TOOSY, Ahmed T.; TRIP,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Sachid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A.; WILSON, Heather; MALLON,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Dermot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H.; HEMINGWAY,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Cheryl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; MANKAD,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Kshitij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; CHOU, Michael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Kin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Loon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; CHURCH, Andrew J.; HART, Melanie S.; LUNN, Michael P.; BROWNLEE, Wallace; HACOHEN, Yael; CICC ARELLI, Olga.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Validation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2023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International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Diagnostic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Criteria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for MOGAD in a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Selected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Cohort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Adults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Children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. </w:t>
            </w:r>
            <w:proofErr w:type="spellStart"/>
            <w:r w:rsidRPr="00280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Neurology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, [S. l.], v. 103, p. e209321, 2024. DOI: 10.1212/WNL.0000000000209321.</w:t>
            </w:r>
          </w:p>
          <w:p w14:paraId="3F451B53" w14:textId="77777777" w:rsidR="00436ED3" w:rsidRPr="00280A8E" w:rsidRDefault="00436ED3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392EA5" w14:textId="63C7F5A5" w:rsidR="00D36C68" w:rsidRPr="00280A8E" w:rsidRDefault="00D36C68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VASSÃO-ARAUJO,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RAQUEL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APÓSTOLOS,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SAMIRA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JANSEN, ANGELA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MARIE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LANA-PEIXOTO, MARCO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A.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GOMES NETO, ANTONIO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PEREIRA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RICO-RESTREPO,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MARIANA 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 Alves-Leon,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Soniza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Vieira ;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SATO, DOUGLAS </w:t>
            </w:r>
            <w:proofErr w:type="gram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KAZUTOSHI .</w:t>
            </w:r>
            <w:proofErr w:type="gram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roadmap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increasing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access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AQP4-Ig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testing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for NMOSD: expert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recommendations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. ARQUIVOS DE NEURO-PSIQUIATRIA, v. 83, p. 001-011, 2025.</w:t>
            </w:r>
          </w:p>
          <w:p w14:paraId="06458DC8" w14:textId="77777777" w:rsidR="00436ED3" w:rsidRPr="00280A8E" w:rsidRDefault="00436ED3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E0033A" w14:textId="7F65EBEE" w:rsidR="00436ED3" w:rsidRPr="00280A8E" w:rsidRDefault="00436ED3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Willis MD,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Kreft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KL,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Dancey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B.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Oligoclonal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bands.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Pract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Neurol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. 2024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Sep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 xml:space="preserve"> 13;24(5):400-406. </w:t>
            </w:r>
            <w:proofErr w:type="spellStart"/>
            <w:r w:rsidRPr="00280A8E">
              <w:rPr>
                <w:rFonts w:ascii="Arial" w:hAnsi="Arial" w:cs="Arial"/>
                <w:bCs/>
                <w:sz w:val="20"/>
                <w:szCs w:val="20"/>
              </w:rPr>
              <w:t>doi</w:t>
            </w:r>
            <w:proofErr w:type="spellEnd"/>
            <w:r w:rsidRPr="00280A8E">
              <w:rPr>
                <w:rFonts w:ascii="Arial" w:hAnsi="Arial" w:cs="Arial"/>
                <w:bCs/>
                <w:sz w:val="20"/>
                <w:szCs w:val="20"/>
              </w:rPr>
              <w:t>: 10.1136/pn-2023-003814. </w:t>
            </w:r>
          </w:p>
          <w:p w14:paraId="0D0BA91A" w14:textId="21BF9F96" w:rsidR="00D36C68" w:rsidRPr="00280A8E" w:rsidRDefault="00D36C68" w:rsidP="00910D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2BB1340" w14:textId="77777777" w:rsidR="00D81CD9" w:rsidRDefault="00D81CD9" w:rsidP="00843D7C"/>
    <w:sectPr w:rsidR="00D81CD9" w:rsidSect="00843D7C">
      <w:pgSz w:w="11900" w:h="16840"/>
      <w:pgMar w:top="1440" w:right="126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83B497E"/>
    <w:multiLevelType w:val="hybridMultilevel"/>
    <w:tmpl w:val="3B00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B6664"/>
    <w:multiLevelType w:val="multilevel"/>
    <w:tmpl w:val="CAA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3455F9"/>
    <w:multiLevelType w:val="hybridMultilevel"/>
    <w:tmpl w:val="346EB30E"/>
    <w:lvl w:ilvl="0" w:tplc="9188733E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37E1D"/>
    <w:multiLevelType w:val="multilevel"/>
    <w:tmpl w:val="D66E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06B4D"/>
    <w:multiLevelType w:val="hybridMultilevel"/>
    <w:tmpl w:val="B3AC5F1E"/>
    <w:lvl w:ilvl="0" w:tplc="63CE6192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90221"/>
    <w:multiLevelType w:val="hybridMultilevel"/>
    <w:tmpl w:val="1610E5EA"/>
    <w:lvl w:ilvl="0" w:tplc="C69E50CA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86D63"/>
    <w:multiLevelType w:val="hybridMultilevel"/>
    <w:tmpl w:val="77D4A046"/>
    <w:lvl w:ilvl="0" w:tplc="1D92CFEC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23E28"/>
    <w:multiLevelType w:val="hybridMultilevel"/>
    <w:tmpl w:val="003EA748"/>
    <w:lvl w:ilvl="0" w:tplc="FF88A364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93AA4"/>
    <w:multiLevelType w:val="multilevel"/>
    <w:tmpl w:val="ED8C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B3446A"/>
    <w:multiLevelType w:val="hybridMultilevel"/>
    <w:tmpl w:val="BA1A2214"/>
    <w:lvl w:ilvl="0" w:tplc="B7CCC06C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955240">
    <w:abstractNumId w:val="0"/>
  </w:num>
  <w:num w:numId="2" w16cid:durableId="1984507880">
    <w:abstractNumId w:val="6"/>
  </w:num>
  <w:num w:numId="3" w16cid:durableId="1951887861">
    <w:abstractNumId w:val="3"/>
  </w:num>
  <w:num w:numId="4" w16cid:durableId="551504490">
    <w:abstractNumId w:val="10"/>
  </w:num>
  <w:num w:numId="5" w16cid:durableId="1416050104">
    <w:abstractNumId w:val="7"/>
  </w:num>
  <w:num w:numId="6" w16cid:durableId="361899052">
    <w:abstractNumId w:val="8"/>
  </w:num>
  <w:num w:numId="7" w16cid:durableId="321662589">
    <w:abstractNumId w:val="5"/>
  </w:num>
  <w:num w:numId="8" w16cid:durableId="1237134216">
    <w:abstractNumId w:val="1"/>
  </w:num>
  <w:num w:numId="9" w16cid:durableId="443307787">
    <w:abstractNumId w:val="2"/>
  </w:num>
  <w:num w:numId="10" w16cid:durableId="170411701">
    <w:abstractNumId w:val="9"/>
  </w:num>
  <w:num w:numId="11" w16cid:durableId="1135638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7C"/>
    <w:rsid w:val="001B0254"/>
    <w:rsid w:val="0021186A"/>
    <w:rsid w:val="00236AFE"/>
    <w:rsid w:val="00280A8E"/>
    <w:rsid w:val="00436ED3"/>
    <w:rsid w:val="00714CF4"/>
    <w:rsid w:val="00843D7C"/>
    <w:rsid w:val="008B617D"/>
    <w:rsid w:val="00910D78"/>
    <w:rsid w:val="009B75C5"/>
    <w:rsid w:val="00BA1402"/>
    <w:rsid w:val="00BE1254"/>
    <w:rsid w:val="00D36C68"/>
    <w:rsid w:val="00D81CD9"/>
    <w:rsid w:val="00E86EDE"/>
    <w:rsid w:val="00F5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8A8F5"/>
  <w14:defaultImageDpi w14:val="300"/>
  <w15:docId w15:val="{2BDCA9C9-2FE4-4787-8642-2CFD0646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7C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43D7C"/>
    <w:rPr>
      <w:b/>
      <w:bCs/>
    </w:rPr>
  </w:style>
  <w:style w:type="character" w:customStyle="1" w:styleId="nome">
    <w:name w:val="nome"/>
    <w:basedOn w:val="Fontepargpadro"/>
    <w:rsid w:val="00843D7C"/>
  </w:style>
  <w:style w:type="character" w:customStyle="1" w:styleId="text1">
    <w:name w:val="text1"/>
    <w:basedOn w:val="Fontepargpadro"/>
    <w:rsid w:val="00843D7C"/>
  </w:style>
  <w:style w:type="paragraph" w:styleId="Cabealho">
    <w:name w:val="header"/>
    <w:basedOn w:val="Normal"/>
    <w:link w:val="CabealhoChar"/>
    <w:rsid w:val="00843D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43D7C"/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843D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6C6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6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1368</Words>
  <Characters>8254</Characters>
  <Application>Microsoft Office Word</Application>
  <DocSecurity>0</DocSecurity>
  <Lines>171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Itallo Collopy Junior</dc:creator>
  <cp:keywords/>
  <dc:description/>
  <cp:lastModifiedBy>Renan Fernandes</cp:lastModifiedBy>
  <cp:revision>3</cp:revision>
  <dcterms:created xsi:type="dcterms:W3CDTF">2026-02-05T14:11:00Z</dcterms:created>
  <dcterms:modified xsi:type="dcterms:W3CDTF">2026-02-05T14:13:00Z</dcterms:modified>
</cp:coreProperties>
</file>