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3E6A" w14:textId="15EDD1B4" w:rsidR="00104BB6" w:rsidRDefault="006B03E6">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94080" behindDoc="1" locked="0" layoutInCell="1" allowOverlap="1" wp14:anchorId="6523881E" wp14:editId="0F74C4D7">
            <wp:simplePos x="0" y="0"/>
            <wp:positionH relativeFrom="column">
              <wp:posOffset>-915714</wp:posOffset>
            </wp:positionH>
            <wp:positionV relativeFrom="paragraph">
              <wp:posOffset>-1061720</wp:posOffset>
            </wp:positionV>
            <wp:extent cx="7559999" cy="1068937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7559999" cy="10689370"/>
                    </a:xfrm>
                    <a:prstGeom prst="rect">
                      <a:avLst/>
                    </a:prstGeom>
                  </pic:spPr>
                </pic:pic>
              </a:graphicData>
            </a:graphic>
            <wp14:sizeRelH relativeFrom="margin">
              <wp14:pctWidth>0</wp14:pctWidth>
            </wp14:sizeRelH>
            <wp14:sizeRelV relativeFrom="margin">
              <wp14:pctHeight>0</wp14:pctHeight>
            </wp14:sizeRelV>
          </wp:anchor>
        </w:drawing>
      </w:r>
      <w:r w:rsidR="00AB6BF9">
        <w:rPr>
          <w:rFonts w:ascii="Times New Roman" w:eastAsia="Times New Roman" w:hAnsi="Times New Roman" w:cs="Times New Roman"/>
          <w:noProof/>
        </w:rPr>
        <w:drawing>
          <wp:anchor distT="0" distB="0" distL="114300" distR="114300" simplePos="0" relativeHeight="251703296" behindDoc="0" locked="0" layoutInCell="1" allowOverlap="1" wp14:anchorId="23611F01" wp14:editId="242A1D91">
            <wp:simplePos x="0" y="0"/>
            <wp:positionH relativeFrom="margin">
              <wp:posOffset>-152400</wp:posOffset>
            </wp:positionH>
            <wp:positionV relativeFrom="paragraph">
              <wp:posOffset>6186805</wp:posOffset>
            </wp:positionV>
            <wp:extent cx="1562100" cy="1562100"/>
            <wp:effectExtent l="0" t="0" r="0" b="0"/>
            <wp:wrapThrough wrapText="bothSides">
              <wp:wrapPolygon edited="0">
                <wp:start x="1317" y="0"/>
                <wp:lineTo x="790" y="1054"/>
                <wp:lineTo x="527" y="19493"/>
                <wp:lineTo x="3951" y="21073"/>
                <wp:lineTo x="9746" y="21337"/>
                <wp:lineTo x="13698" y="21337"/>
                <wp:lineTo x="14751" y="21073"/>
                <wp:lineTo x="19756" y="17385"/>
                <wp:lineTo x="20810" y="16859"/>
                <wp:lineTo x="20546" y="15278"/>
                <wp:lineTo x="18966" y="12644"/>
                <wp:lineTo x="17122" y="8429"/>
                <wp:lineTo x="17385" y="4215"/>
                <wp:lineTo x="13434" y="0"/>
                <wp:lineTo x="1317" y="0"/>
              </wp:wrapPolygon>
            </wp:wrapThrough>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m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r w:rsidR="003C2F39">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4A5EBB03" wp14:editId="5F92A03C">
                <wp:simplePos x="0" y="0"/>
                <wp:positionH relativeFrom="margin">
                  <wp:posOffset>1838325</wp:posOffset>
                </wp:positionH>
                <wp:positionV relativeFrom="paragraph">
                  <wp:posOffset>6234430</wp:posOffset>
                </wp:positionV>
                <wp:extent cx="4057650" cy="146685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4057650" cy="1466850"/>
                        </a:xfrm>
                        <a:prstGeom prst="rect">
                          <a:avLst/>
                        </a:prstGeom>
                        <a:noFill/>
                        <a:ln w="6350">
                          <a:noFill/>
                        </a:ln>
                      </wps:spPr>
                      <wps:txbx>
                        <w:txbxContent>
                          <w:p w14:paraId="11417F03" w14:textId="486A5AFE" w:rsidR="00336A60" w:rsidRPr="00AC5DDD" w:rsidRDefault="003C2F39">
                            <w:pPr>
                              <w:rPr>
                                <w:rFonts w:ascii="Arial" w:hAnsi="Arial" w:cs="Arial"/>
                              </w:rPr>
                            </w:pPr>
                            <w:r>
                              <w:rPr>
                                <w:rFonts w:ascii="Arial" w:hAnsi="Arial" w:cs="Arial"/>
                                <w:b/>
                                <w:bCs/>
                                <w:color w:val="FFFFFF" w:themeColor="background1"/>
                                <w:sz w:val="60"/>
                                <w:szCs w:val="60"/>
                              </w:rPr>
                              <w:t>Termo aditivo</w:t>
                            </w:r>
                            <w:r w:rsidR="00336A60" w:rsidRPr="00AC5DDD">
                              <w:rPr>
                                <w:rFonts w:ascii="Arial" w:hAnsi="Arial" w:cs="Arial"/>
                                <w:color w:val="FFFFFF" w:themeColor="background1"/>
                              </w:rPr>
                              <w:t xml:space="preserve"> </w:t>
                            </w:r>
                            <w:r w:rsidR="00336A60" w:rsidRPr="00AC5DDD">
                              <w:rPr>
                                <w:rFonts w:ascii="Arial" w:hAnsi="Arial" w:cs="Arial"/>
                              </w:rPr>
                              <w:br/>
                            </w:r>
                            <w:r w:rsidRPr="003C2F39">
                              <w:rPr>
                                <w:rFonts w:ascii="Arial" w:hAnsi="Arial" w:cs="Arial"/>
                                <w:color w:val="FFFFFF" w:themeColor="background1"/>
                                <w:sz w:val="36"/>
                                <w:szCs w:val="36"/>
                              </w:rPr>
                              <w:t>Prorrogação de vigência em contratos de prestação de serviços</w:t>
                            </w:r>
                            <w:r w:rsidR="00AB6BF9">
                              <w:rPr>
                                <w:rFonts w:ascii="Arial" w:hAnsi="Arial" w:cs="Arial"/>
                                <w:color w:val="FFFFFF" w:themeColor="background1"/>
                                <w:sz w:val="36"/>
                                <w:szCs w:val="36"/>
                              </w:rPr>
                              <w:br/>
                            </w:r>
                            <w:r w:rsidRPr="003C2F39">
                              <w:rPr>
                                <w:rFonts w:ascii="Arial" w:hAnsi="Arial" w:cs="Arial"/>
                                <w:color w:val="FFFFFF" w:themeColor="background1"/>
                                <w:sz w:val="36"/>
                                <w:szCs w:val="36"/>
                              </w:rPr>
                              <w:t>e fornecimentos continuados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EBB03" id="_x0000_t202" coordsize="21600,21600" o:spt="202" path="m,l,21600r21600,l21600,xe">
                <v:stroke joinstyle="miter"/>
                <v:path gradientshapeok="t" o:connecttype="rect"/>
              </v:shapetype>
              <v:shape id="Caixa de Texto 3" o:spid="_x0000_s1026" type="#_x0000_t202" style="position:absolute;margin-left:144.75pt;margin-top:490.9pt;width:319.5pt;height:1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" filled="f" stroked="f" strokeweight=".5pt">
                <v:textbox>
                  <w:txbxContent>
                    <w:p w14:paraId="11417F03" w14:textId="486A5AFE" w:rsidR="00336A60" w:rsidRPr="00AC5DDD" w:rsidRDefault="003C2F39">
                      <w:pPr>
                        <w:rPr>
                          <w:rFonts w:ascii="Arial" w:hAnsi="Arial" w:cs="Arial"/>
                        </w:rPr>
                      </w:pPr>
                      <w:r>
                        <w:rPr>
                          <w:rFonts w:ascii="Arial" w:hAnsi="Arial" w:cs="Arial"/>
                          <w:b/>
                          <w:bCs/>
                          <w:color w:val="FFFFFF" w:themeColor="background1"/>
                          <w:sz w:val="60"/>
                          <w:szCs w:val="60"/>
                        </w:rPr>
                        <w:t>Termo aditivo</w:t>
                      </w:r>
                      <w:r w:rsidR="00336A60" w:rsidRPr="00AC5DDD">
                        <w:rPr>
                          <w:rFonts w:ascii="Arial" w:hAnsi="Arial" w:cs="Arial"/>
                          <w:color w:val="FFFFFF" w:themeColor="background1"/>
                        </w:rPr>
                        <w:t xml:space="preserve"> </w:t>
                      </w:r>
                      <w:r w:rsidR="00336A60" w:rsidRPr="00AC5DDD">
                        <w:rPr>
                          <w:rFonts w:ascii="Arial" w:hAnsi="Arial" w:cs="Arial"/>
                        </w:rPr>
                        <w:br/>
                      </w:r>
                      <w:r w:rsidRPr="003C2F39">
                        <w:rPr>
                          <w:rFonts w:ascii="Arial" w:hAnsi="Arial" w:cs="Arial"/>
                          <w:color w:val="FFFFFF" w:themeColor="background1"/>
                          <w:sz w:val="36"/>
                          <w:szCs w:val="36"/>
                        </w:rPr>
                        <w:t>Prorrogação de vigência em contratos de prestação de serviços</w:t>
                      </w:r>
                      <w:r w:rsidR="00AB6BF9">
                        <w:rPr>
                          <w:rFonts w:ascii="Arial" w:hAnsi="Arial" w:cs="Arial"/>
                          <w:color w:val="FFFFFF" w:themeColor="background1"/>
                          <w:sz w:val="36"/>
                          <w:szCs w:val="36"/>
                        </w:rPr>
                        <w:br/>
                      </w:r>
                      <w:r w:rsidRPr="003C2F39">
                        <w:rPr>
                          <w:rFonts w:ascii="Arial" w:hAnsi="Arial" w:cs="Arial"/>
                          <w:color w:val="FFFFFF" w:themeColor="background1"/>
                          <w:sz w:val="36"/>
                          <w:szCs w:val="36"/>
                        </w:rPr>
                        <w:t>e fornecimentos continuados</w:t>
                      </w:r>
                    </w:p>
                  </w:txbxContent>
                </v:textbox>
                <w10:wrap anchorx="margin"/>
              </v:shape>
            </w:pict>
          </mc:Fallback>
        </mc:AlternateContent>
      </w:r>
      <w:r w:rsidR="00230DC9">
        <w:rPr>
          <w:rFonts w:ascii="Times New Roman" w:eastAsia="Times New Roman" w:hAnsi="Times New Roman" w:cs="Times New Roman"/>
        </w:rPr>
        <w:t xml:space="preserve"> </w:t>
      </w:r>
      <w:r w:rsidR="00104BB6">
        <w:rPr>
          <w:rFonts w:ascii="Times New Roman" w:eastAsia="Times New Roman" w:hAnsi="Times New Roman" w:cs="Times New Roman"/>
        </w:rPr>
        <w:br w:type="page"/>
      </w:r>
    </w:p>
    <w:p w14:paraId="3E8B8AFC" w14:textId="3BD64076" w:rsidR="00062F68" w:rsidRDefault="00FA244F" w:rsidP="00062F68">
      <w:pPr>
        <w:rPr>
          <w:color w:val="FFFFFF" w:themeColor="background1"/>
        </w:rPr>
      </w:pPr>
      <w:r>
        <w:rPr>
          <w:noProof/>
        </w:rPr>
        <w:lastRenderedPageBreak/>
        <mc:AlternateContent>
          <mc:Choice Requires="wps">
            <w:drawing>
              <wp:anchor distT="0" distB="0" distL="114300" distR="114300" simplePos="0" relativeHeight="251663360" behindDoc="0" locked="0" layoutInCell="1" allowOverlap="1" wp14:anchorId="1F279702" wp14:editId="5E6F9B6E">
                <wp:simplePos x="0" y="0"/>
                <wp:positionH relativeFrom="column">
                  <wp:posOffset>-9525</wp:posOffset>
                </wp:positionH>
                <wp:positionV relativeFrom="paragraph">
                  <wp:posOffset>214629</wp:posOffset>
                </wp:positionV>
                <wp:extent cx="6299835" cy="3019425"/>
                <wp:effectExtent l="19050" t="19050" r="24765" b="28575"/>
                <wp:wrapNone/>
                <wp:docPr id="11" name="Retângulo: Cantos Arredondados 11"/>
                <wp:cNvGraphicFramePr/>
                <a:graphic xmlns:a="http://schemas.openxmlformats.org/drawingml/2006/main">
                  <a:graphicData uri="http://schemas.microsoft.com/office/word/2010/wordprocessingShape">
                    <wps:wsp>
                      <wps:cNvSpPr/>
                      <wps:spPr>
                        <a:xfrm>
                          <a:off x="0" y="0"/>
                          <a:ext cx="6299835" cy="3019425"/>
                        </a:xfrm>
                        <a:prstGeom prst="roundRect">
                          <a:avLst>
                            <a:gd name="adj" fmla="val 2955"/>
                          </a:avLst>
                        </a:prstGeom>
                        <a:noFill/>
                        <a:ln w="28575">
                          <a:solidFill>
                            <a:srgbClr val="B987B4"/>
                          </a:solidFill>
                        </a:ln>
                      </wps:spPr>
                      <wps:style>
                        <a:lnRef idx="2">
                          <a:schemeClr val="dk1">
                            <a:shade val="50000"/>
                          </a:schemeClr>
                        </a:lnRef>
                        <a:fillRef idx="1">
                          <a:schemeClr val="dk1"/>
                        </a:fillRef>
                        <a:effectRef idx="0">
                          <a:schemeClr val="dk1"/>
                        </a:effectRef>
                        <a:fontRef idx="minor">
                          <a:schemeClr val="lt1"/>
                        </a:fontRef>
                      </wps:style>
                      <wps:txbx>
                        <w:txbxContent>
                          <w:p w14:paraId="7B5ACEE7" w14:textId="6756BB56"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 modelo pretende uniformizar a atuação consultiva no âmbito da Procuradoria-Geral Federal. </w:t>
                            </w:r>
                          </w:p>
                          <w:p w14:paraId="383D5FAB"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65C06A4D" w14:textId="05BA61BB"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Os pareceres estão em permanente aperfeiçoamento pela Câmara Permanente de Uniformização de Entendimentos Consultivos da PGF. </w:t>
                            </w:r>
                          </w:p>
                          <w:p w14:paraId="06743B0B"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21BB0BE1" w14:textId="5A43E566"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 modelo foi elaborado pensando-se razoavelmente em tudo que pode ser objeto de recomendação em um processo, de modo que nem sempre precisará ser adotado de maneira integral. Recomenda-se que seja objeto de avaliação crítica, pela Procuradoria Federal junto à Autarquia ou Fundação Pública Federal, de acordo com as peculiaridades da entidade, para excluir ou adaptar os trechos que abordam temas sobre os quais a entidade consulente já tenha maturidade. </w:t>
                            </w:r>
                          </w:p>
                          <w:p w14:paraId="764B5C67"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144ABD55" w14:textId="79C4692C" w:rsidR="00062F68" w:rsidRPr="000F5532" w:rsidRDefault="00FA244F" w:rsidP="00FA244F">
                            <w:pPr>
                              <w:pStyle w:val="PargrafodaLista"/>
                              <w:numPr>
                                <w:ilvl w:val="0"/>
                                <w:numId w:val="33"/>
                              </w:numPr>
                              <w:ind w:left="2268"/>
                              <w:rPr>
                                <w:rFonts w:ascii="Ubuntu" w:hAnsi="Ubuntu"/>
                                <w:color w:val="FFFFFF" w:themeColor="background1"/>
                                <w:sz w:val="20"/>
                                <w:szCs w:val="20"/>
                              </w:rPr>
                            </w:pPr>
                            <w:r w:rsidRPr="00FA244F">
                              <w:rPr>
                                <w:rFonts w:ascii="Arial" w:eastAsia="Times New Roman" w:hAnsi="Arial" w:cs="Arial"/>
                                <w:color w:val="FFFFFF" w:themeColor="background1"/>
                                <w:sz w:val="20"/>
                                <w:szCs w:val="20"/>
                              </w:rPr>
                              <w:t>Após a devida personalização, recomenda-se seja cadastrado como modelo local no SAPIENS, mais adequado a cada realidade.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79702" id="Retângulo: Cantos Arredondados 11" o:spid="_x0000_s1027" style="position:absolute;margin-left:-.75pt;margin-top:16.9pt;width:496.05pt;height:2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" filled="f" strokecolor="#b987b4" strokeweight="2.25pt">
                <v:stroke joinstyle="miter"/>
                <v:textbox>
                  <w:txbxContent>
                    <w:p w14:paraId="7B5ACEE7" w14:textId="6756BB56"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 modelo pretende uniformizar a atuação consultiva no âmbito da Procuradoria-Geral Federal. </w:t>
                      </w:r>
                    </w:p>
                    <w:p w14:paraId="383D5FAB"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65C06A4D" w14:textId="05BA61BB"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Os pareceres estão em permanente aperfeiçoamento pela Câmara Permanente de Uniformização de Entendimentos Consultivos da PGF. </w:t>
                      </w:r>
                    </w:p>
                    <w:p w14:paraId="06743B0B"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21BB0BE1" w14:textId="5A43E566"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 modelo foi elaborado pensando-se razoavelmente em tudo que pode ser objeto de recomendação em um processo, de modo que nem sempre precisará ser adotado de maneira integral. Recomenda-se que seja objeto de avaliação crítica, pela Procuradoria Federal junto à Autarquia ou Fundação Pública Federal, de acordo com as peculiaridades da entidade, para excluir ou adaptar os trechos que abordam temas sobre os quais a entidade consulente já tenha maturidade. </w:t>
                      </w:r>
                    </w:p>
                    <w:p w14:paraId="764B5C67"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144ABD55" w14:textId="79C4692C" w:rsidR="00062F68" w:rsidRPr="000F5532" w:rsidRDefault="00FA244F" w:rsidP="00FA244F">
                      <w:pPr>
                        <w:pStyle w:val="PargrafodaLista"/>
                        <w:numPr>
                          <w:ilvl w:val="0"/>
                          <w:numId w:val="33"/>
                        </w:numPr>
                        <w:ind w:left="2268"/>
                        <w:rPr>
                          <w:rFonts w:ascii="Ubuntu" w:hAnsi="Ubuntu"/>
                          <w:color w:val="FFFFFF" w:themeColor="background1"/>
                          <w:sz w:val="20"/>
                          <w:szCs w:val="20"/>
                        </w:rPr>
                      </w:pPr>
                      <w:r w:rsidRPr="00FA244F">
                        <w:rPr>
                          <w:rFonts w:ascii="Arial" w:eastAsia="Times New Roman" w:hAnsi="Arial" w:cs="Arial"/>
                          <w:color w:val="FFFFFF" w:themeColor="background1"/>
                          <w:sz w:val="20"/>
                          <w:szCs w:val="20"/>
                        </w:rPr>
                        <w:t>Após a devida personalização, recomenda-se seja cadastrado como modelo local no SAPIENS, mais adequado a cada realidade.</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15B6F0B8" wp14:editId="5F157CFF">
                <wp:simplePos x="0" y="0"/>
                <wp:positionH relativeFrom="column">
                  <wp:posOffset>-123825</wp:posOffset>
                </wp:positionH>
                <wp:positionV relativeFrom="paragraph">
                  <wp:posOffset>119380</wp:posOffset>
                </wp:positionV>
                <wp:extent cx="6301105" cy="3000375"/>
                <wp:effectExtent l="0" t="0" r="4445" b="9525"/>
                <wp:wrapNone/>
                <wp:docPr id="9" name="Retângulo: Cantos Arredondados 9"/>
                <wp:cNvGraphicFramePr/>
                <a:graphic xmlns:a="http://schemas.openxmlformats.org/drawingml/2006/main">
                  <a:graphicData uri="http://schemas.microsoft.com/office/word/2010/wordprocessingShape">
                    <wps:wsp>
                      <wps:cNvSpPr/>
                      <wps:spPr>
                        <a:xfrm>
                          <a:off x="0" y="0"/>
                          <a:ext cx="6301105" cy="3000375"/>
                        </a:xfrm>
                        <a:prstGeom prst="roundRect">
                          <a:avLst>
                            <a:gd name="adj" fmla="val 2857"/>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FAE1349"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6F0B8" id="Retângulo: Cantos Arredondados 9" o:spid="_x0000_s1028" style="position:absolute;margin-left:-9.75pt;margin-top:9.4pt;width:496.15pt;height:2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" fillcolor="#154b5d" stroked="f" strokeweight="1pt">
                <v:stroke joinstyle="miter"/>
                <v:textbox>
                  <w:txbxContent>
                    <w:p w14:paraId="3FAE1349"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044133">
        <w:rPr>
          <w:noProof/>
        </w:rPr>
        <mc:AlternateContent>
          <mc:Choice Requires="wps">
            <w:drawing>
              <wp:anchor distT="0" distB="0" distL="114300" distR="114300" simplePos="0" relativeHeight="251664384" behindDoc="0" locked="0" layoutInCell="1" allowOverlap="1" wp14:anchorId="36108F0E" wp14:editId="264DA9F5">
                <wp:simplePos x="0" y="0"/>
                <wp:positionH relativeFrom="column">
                  <wp:posOffset>-307340</wp:posOffset>
                </wp:positionH>
                <wp:positionV relativeFrom="paragraph">
                  <wp:posOffset>2635</wp:posOffset>
                </wp:positionV>
                <wp:extent cx="1447800" cy="1619250"/>
                <wp:effectExtent l="0" t="0" r="0" b="0"/>
                <wp:wrapNone/>
                <wp:docPr id="14" name="Retângulo: Cantos Arredondados 14"/>
                <wp:cNvGraphicFramePr/>
                <a:graphic xmlns:a="http://schemas.openxmlformats.org/drawingml/2006/main">
                  <a:graphicData uri="http://schemas.microsoft.com/office/word/2010/wordprocessingShape">
                    <wps:wsp>
                      <wps:cNvSpPr/>
                      <wps:spPr>
                        <a:xfrm>
                          <a:off x="0" y="0"/>
                          <a:ext cx="1447800" cy="1619250"/>
                        </a:xfrm>
                        <a:prstGeom prst="roundRect">
                          <a:avLst>
                            <a:gd name="adj" fmla="val 5483"/>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E1B88" w14:textId="77777777" w:rsidR="00062F68" w:rsidRPr="00106C29" w:rsidRDefault="00062F68" w:rsidP="00062F68">
                            <w:pPr>
                              <w:jc w:val="center"/>
                              <w:rPr>
                                <w:rFonts w:ascii="Arial" w:hAnsi="Arial" w:cs="Arial"/>
                                <w:b/>
                                <w:bCs/>
                              </w:rPr>
                            </w:pPr>
                            <w:r w:rsidRPr="00106C29">
                              <w:rPr>
                                <w:rFonts w:ascii="Arial" w:hAnsi="Arial" w:cs="Arial"/>
                                <w:b/>
                                <w:bCs/>
                              </w:rPr>
                              <w:t xml:space="preserve">POR QUE UTILIZAR </w:t>
                            </w:r>
                            <w:r w:rsidRPr="00106C29">
                              <w:rPr>
                                <w:rFonts w:ascii="Arial" w:hAnsi="Arial" w:cs="Arial"/>
                                <w:b/>
                                <w:bCs/>
                              </w:rPr>
                              <w:br/>
                              <w:t>ESTE MODELO?</w:t>
                            </w:r>
                            <w:r w:rsidRPr="00106C29">
                              <w:rPr>
                                <w:rFonts w:ascii="Arial" w:hAnsi="Arial" w:cs="Arial"/>
                                <w:b/>
                                <w:bCs/>
                                <w:noProof/>
                              </w:rPr>
                              <w:drawing>
                                <wp:inline distT="0" distB="0" distL="0" distR="0" wp14:anchorId="5982E5FB" wp14:editId="0DBDA328">
                                  <wp:extent cx="787488" cy="981075"/>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6876"/>
                                          <a:stretch/>
                                        </pic:blipFill>
                                        <pic:spPr bwMode="auto">
                                          <a:xfrm>
                                            <a:off x="0" y="0"/>
                                            <a:ext cx="791279" cy="98579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08F0E" id="Retângulo: Cantos Arredondados 14" o:spid="_x0000_s1029" style="position:absolute;margin-left:-24.2pt;margin-top:.2pt;width:114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" fillcolor="#b987b4" stroked="f" strokeweight="1pt">
                <v:stroke joinstyle="miter"/>
                <v:textbox>
                  <w:txbxContent>
                    <w:p w14:paraId="124E1B88" w14:textId="77777777" w:rsidR="00062F68" w:rsidRPr="00106C29" w:rsidRDefault="00062F68" w:rsidP="00062F68">
                      <w:pPr>
                        <w:jc w:val="center"/>
                        <w:rPr>
                          <w:rFonts w:ascii="Arial" w:hAnsi="Arial" w:cs="Arial"/>
                          <w:b/>
                          <w:bCs/>
                        </w:rPr>
                      </w:pPr>
                      <w:r w:rsidRPr="00106C29">
                        <w:rPr>
                          <w:rFonts w:ascii="Arial" w:hAnsi="Arial" w:cs="Arial"/>
                          <w:b/>
                          <w:bCs/>
                        </w:rPr>
                        <w:t xml:space="preserve">POR QUE UTILIZAR </w:t>
                      </w:r>
                      <w:r w:rsidRPr="00106C29">
                        <w:rPr>
                          <w:rFonts w:ascii="Arial" w:hAnsi="Arial" w:cs="Arial"/>
                          <w:b/>
                          <w:bCs/>
                        </w:rPr>
                        <w:br/>
                        <w:t>ESTE MODELO?</w:t>
                      </w:r>
                      <w:r w:rsidRPr="00106C29">
                        <w:rPr>
                          <w:rFonts w:ascii="Arial" w:hAnsi="Arial" w:cs="Arial"/>
                          <w:b/>
                          <w:bCs/>
                          <w:noProof/>
                        </w:rPr>
                        <w:drawing>
                          <wp:inline distT="0" distB="0" distL="0" distR="0" wp14:anchorId="5982E5FB" wp14:editId="0DBDA328">
                            <wp:extent cx="787488" cy="981075"/>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6876"/>
                                    <a:stretch/>
                                  </pic:blipFill>
                                  <pic:spPr bwMode="auto">
                                    <a:xfrm>
                                      <a:off x="0" y="0"/>
                                      <a:ext cx="791279" cy="98579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p>
    <w:p w14:paraId="0A5FBBDE" w14:textId="7B00366F" w:rsidR="00062F68" w:rsidRPr="0025650D" w:rsidRDefault="00D6476E" w:rsidP="00062F68">
      <w:r>
        <w:rPr>
          <w:noProof/>
        </w:rPr>
        <mc:AlternateContent>
          <mc:Choice Requires="wps">
            <w:drawing>
              <wp:anchor distT="0" distB="0" distL="114300" distR="114300" simplePos="0" relativeHeight="251698176" behindDoc="0" locked="0" layoutInCell="1" allowOverlap="1" wp14:anchorId="0479AE25" wp14:editId="0C7DDFBE">
                <wp:simplePos x="0" y="0"/>
                <wp:positionH relativeFrom="column">
                  <wp:posOffset>-9525</wp:posOffset>
                </wp:positionH>
                <wp:positionV relativeFrom="paragraph">
                  <wp:posOffset>3319780</wp:posOffset>
                </wp:positionV>
                <wp:extent cx="6299835" cy="5048250"/>
                <wp:effectExtent l="19050" t="19050" r="24765" b="19050"/>
                <wp:wrapNone/>
                <wp:docPr id="24" name="Retângulo: Cantos Arredondados 24"/>
                <wp:cNvGraphicFramePr/>
                <a:graphic xmlns:a="http://schemas.openxmlformats.org/drawingml/2006/main">
                  <a:graphicData uri="http://schemas.microsoft.com/office/word/2010/wordprocessingShape">
                    <wps:wsp>
                      <wps:cNvSpPr/>
                      <wps:spPr>
                        <a:xfrm>
                          <a:off x="0" y="0"/>
                          <a:ext cx="6299835" cy="5048250"/>
                        </a:xfrm>
                        <a:prstGeom prst="roundRect">
                          <a:avLst>
                            <a:gd name="adj" fmla="val 2145"/>
                          </a:avLst>
                        </a:prstGeom>
                        <a:noFill/>
                        <a:ln w="28575">
                          <a:solidFill>
                            <a:srgbClr val="B987B4"/>
                          </a:solidFill>
                        </a:ln>
                        <a:effectLst>
                          <a:softEdge rad="0"/>
                        </a:effectLst>
                      </wps:spPr>
                      <wps:style>
                        <a:lnRef idx="2">
                          <a:schemeClr val="dk1">
                            <a:shade val="50000"/>
                          </a:schemeClr>
                        </a:lnRef>
                        <a:fillRef idx="1">
                          <a:schemeClr val="dk1"/>
                        </a:fillRef>
                        <a:effectRef idx="0">
                          <a:schemeClr val="dk1"/>
                        </a:effectRef>
                        <a:fontRef idx="minor">
                          <a:schemeClr val="lt1"/>
                        </a:fontRef>
                      </wps:style>
                      <wps:txbx>
                        <w:txbxContent>
                          <w:p w14:paraId="18B2ED01"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Análise de termo aditivo que trate da prorrogação de vigência, com fundamento no art. 107 da Lei nº 14.133, de 1º de abril de 2021, em contratos de prestação de serviços e fornecimentos continuados, regidos pela NLLC.</w:t>
                            </w:r>
                          </w:p>
                          <w:p w14:paraId="651BC2F4" w14:textId="53F27D04" w:rsidR="00FA244F" w:rsidRPr="00FA244F" w:rsidRDefault="00FA244F" w:rsidP="00FA244F">
                            <w:pPr>
                              <w:pStyle w:val="PargrafodaLista"/>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 </w:t>
                            </w:r>
                          </w:p>
                          <w:p w14:paraId="72F246FD"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A presente manifestação referencial foi elaborada com fundamento na ON AGU nº 55 e Portaria PGF n.º 262/2017, como medida de eficiência e celeridade na análise de processos que envolvem mera verificação do atendimento das exigências legais a partir da simples conferência de documentos.</w:t>
                            </w:r>
                          </w:p>
                          <w:p w14:paraId="539A400F" w14:textId="77777777" w:rsidR="00FA244F" w:rsidRPr="00FA244F" w:rsidRDefault="00FA244F" w:rsidP="00FA244F">
                            <w:pPr>
                              <w:pStyle w:val="PargrafodaLista"/>
                              <w:ind w:left="2127"/>
                              <w:rPr>
                                <w:rFonts w:ascii="Arial" w:eastAsia="Calibri" w:hAnsi="Arial" w:cs="Arial"/>
                                <w:color w:val="FFFFFF" w:themeColor="background1"/>
                                <w:sz w:val="20"/>
                                <w:szCs w:val="20"/>
                              </w:rPr>
                            </w:pPr>
                          </w:p>
                          <w:p w14:paraId="7CB924F7"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O objetivo é garantir segurança jurídica aos entes assessorados e, ao mesmo tempo, otimizar e racionalizar o trabalho, viabilizando maior dedicação ao enfrentamento de questões complexas, com atuação prioritária, estratégicas e especializadas, que demandam uma atuação qualificada. </w:t>
                            </w:r>
                          </w:p>
                          <w:p w14:paraId="65CC0BA4" w14:textId="77777777" w:rsidR="00FA244F" w:rsidRPr="00FA244F" w:rsidRDefault="00FA244F" w:rsidP="00FA244F">
                            <w:pPr>
                              <w:pStyle w:val="PargrafodaLista"/>
                              <w:ind w:left="2127"/>
                              <w:rPr>
                                <w:rFonts w:ascii="Arial" w:eastAsia="Calibri" w:hAnsi="Arial" w:cs="Arial"/>
                                <w:color w:val="FFFFFF" w:themeColor="background1"/>
                                <w:sz w:val="20"/>
                                <w:szCs w:val="20"/>
                              </w:rPr>
                            </w:pPr>
                          </w:p>
                          <w:p w14:paraId="74C3AEF5" w14:textId="63BDA03D" w:rsidR="00FA244F" w:rsidRP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O Procurador-Chefe deverá avaliar as peculiaridades do ente assessorado, o volume de processos da unidade e decidir sobre a oportunidade e conveniência de sua utilização.</w:t>
                            </w:r>
                          </w:p>
                          <w:p w14:paraId="121BF228" w14:textId="77777777" w:rsidR="00FA244F" w:rsidRP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Recomenda-se uma preparação e reunião com os entes assessorados, para que compreendam previamente todos os itens do parecer referencial, bem como um acompanhamento periódico quanto aos impactos de sua utilização, seja quanto aos ganhos de eficiência e celeridade, seja para a complementação das orientações voltadas ao aprimoramento da atuação dos setores envolvidos. </w:t>
                            </w:r>
                          </w:p>
                          <w:p w14:paraId="0BAE369D" w14:textId="55259377" w:rsidR="00062F68" w:rsidRPr="000E4B4C" w:rsidRDefault="00FA244F" w:rsidP="00FA244F">
                            <w:pPr>
                              <w:pStyle w:val="PargrafodaLista"/>
                              <w:numPr>
                                <w:ilvl w:val="0"/>
                                <w:numId w:val="31"/>
                              </w:numPr>
                              <w:ind w:left="2127"/>
                              <w:rPr>
                                <w:rFonts w:ascii="Arial" w:eastAsia="Times New Roman" w:hAnsi="Arial" w:cs="Arial"/>
                                <w:color w:val="FFFFFF" w:themeColor="background1"/>
                                <w:sz w:val="20"/>
                                <w:szCs w:val="20"/>
                              </w:rPr>
                            </w:pPr>
                            <w:r w:rsidRPr="00FA244F">
                              <w:rPr>
                                <w:rFonts w:ascii="Arial" w:eastAsia="Calibri" w:hAnsi="Arial" w:cs="Arial"/>
                                <w:color w:val="FFFFFF" w:themeColor="background1"/>
                                <w:sz w:val="20"/>
                                <w:szCs w:val="20"/>
                              </w:rPr>
                              <w:t>* Pressupõe-se a adoção pela Administração Pública dos modelos de editais, termos de referência, contratos e atas de registro de preços (se for o caso) aprovados pela Câmara Nacional de Modelos de Licitações e Contratos da Advocacia-Geral da União (CNMLC).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9AE25" id="Retângulo: Cantos Arredondados 24" o:spid="_x0000_s1030" style="position:absolute;margin-left:-.75pt;margin-top:261.4pt;width:496.0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" filled="f" strokecolor="#b987b4" strokeweight="2.25pt">
                <v:stroke joinstyle="miter"/>
                <v:textbox>
                  <w:txbxContent>
                    <w:p w14:paraId="18B2ED01"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Análise de termo aditivo que trate da prorrogação de vigência, com fundamento no art. 107 da Lei nº 14.133, de 1º de abril de 2021, em contratos de prestação de serviços e fornecimentos continuados, regidos pela NLLC.</w:t>
                      </w:r>
                    </w:p>
                    <w:p w14:paraId="651BC2F4" w14:textId="53F27D04" w:rsidR="00FA244F" w:rsidRPr="00FA244F" w:rsidRDefault="00FA244F" w:rsidP="00FA244F">
                      <w:pPr>
                        <w:pStyle w:val="PargrafodaLista"/>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 </w:t>
                      </w:r>
                    </w:p>
                    <w:p w14:paraId="72F246FD"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A presente manifestação referencial foi elaborada com fundamento na ON AGU nº 55 e Portaria PGF n.º 262/2017, como medida de eficiência e celeridade na análise de processos que envolvem mera verificação do atendimento das exigências legais a partir da simples conferência de documentos.</w:t>
                      </w:r>
                    </w:p>
                    <w:p w14:paraId="539A400F" w14:textId="77777777" w:rsidR="00FA244F" w:rsidRPr="00FA244F" w:rsidRDefault="00FA244F" w:rsidP="00FA244F">
                      <w:pPr>
                        <w:pStyle w:val="PargrafodaLista"/>
                        <w:ind w:left="2127"/>
                        <w:rPr>
                          <w:rFonts w:ascii="Arial" w:eastAsia="Calibri" w:hAnsi="Arial" w:cs="Arial"/>
                          <w:color w:val="FFFFFF" w:themeColor="background1"/>
                          <w:sz w:val="20"/>
                          <w:szCs w:val="20"/>
                        </w:rPr>
                      </w:pPr>
                    </w:p>
                    <w:p w14:paraId="7CB924F7"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O objetivo é garantir segurança jurídica aos entes assessorados e, ao mesmo tempo, otimizar e racionalizar o trabalho, viabilizando maior dedicação ao enfrentamento de questões complexas, com atuação prioritária, estratégicas e especializadas, que demandam uma atuação qualificada. </w:t>
                      </w:r>
                    </w:p>
                    <w:p w14:paraId="65CC0BA4" w14:textId="77777777" w:rsidR="00FA244F" w:rsidRPr="00FA244F" w:rsidRDefault="00FA244F" w:rsidP="00FA244F">
                      <w:pPr>
                        <w:pStyle w:val="PargrafodaLista"/>
                        <w:ind w:left="2127"/>
                        <w:rPr>
                          <w:rFonts w:ascii="Arial" w:eastAsia="Calibri" w:hAnsi="Arial" w:cs="Arial"/>
                          <w:color w:val="FFFFFF" w:themeColor="background1"/>
                          <w:sz w:val="20"/>
                          <w:szCs w:val="20"/>
                        </w:rPr>
                      </w:pPr>
                    </w:p>
                    <w:p w14:paraId="74C3AEF5" w14:textId="63BDA03D" w:rsidR="00FA244F" w:rsidRP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O Procurador-Chefe deverá avaliar as peculiaridades do ente assessorado, o volume de processos da unidade e decidir sobre a oportunidade e conveniência de sua utilização.</w:t>
                      </w:r>
                    </w:p>
                    <w:p w14:paraId="121BF228" w14:textId="77777777" w:rsidR="00FA244F" w:rsidRP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Recomenda-se uma preparação e reunião com os entes assessorados, para que compreendam previamente todos os itens do parecer referencial, bem como um acompanhamento periódico quanto aos impactos de sua utilização, seja quanto aos ganhos de eficiência e celeridade, seja para a complementação das orientações voltadas ao aprimoramento da atuação dos setores envolvidos. </w:t>
                      </w:r>
                    </w:p>
                    <w:p w14:paraId="0BAE369D" w14:textId="55259377" w:rsidR="00062F68" w:rsidRPr="000E4B4C" w:rsidRDefault="00FA244F" w:rsidP="00FA244F">
                      <w:pPr>
                        <w:pStyle w:val="PargrafodaLista"/>
                        <w:numPr>
                          <w:ilvl w:val="0"/>
                          <w:numId w:val="31"/>
                        </w:numPr>
                        <w:ind w:left="2127"/>
                        <w:rPr>
                          <w:rFonts w:ascii="Arial" w:eastAsia="Times New Roman" w:hAnsi="Arial" w:cs="Arial"/>
                          <w:color w:val="FFFFFF" w:themeColor="background1"/>
                          <w:sz w:val="20"/>
                          <w:szCs w:val="20"/>
                        </w:rPr>
                      </w:pPr>
                      <w:r w:rsidRPr="00FA244F">
                        <w:rPr>
                          <w:rFonts w:ascii="Arial" w:eastAsia="Calibri" w:hAnsi="Arial" w:cs="Arial"/>
                          <w:color w:val="FFFFFF" w:themeColor="background1"/>
                          <w:sz w:val="20"/>
                          <w:szCs w:val="20"/>
                        </w:rPr>
                        <w:t>* Pressupõe-se a adoção pela Administração Pública dos modelos de editais, termos de referência, contratos e atas de registro de preços (se for o caso) aprovados pela Câmara Nacional de Modelos de Licitações e Contratos da Advocacia-Geral da União (CNMLC).</w:t>
                      </w:r>
                    </w:p>
                  </w:txbxContent>
                </v:textbox>
              </v:roundrect>
            </w:pict>
          </mc:Fallback>
        </mc:AlternateContent>
      </w:r>
      <w:r w:rsidR="00EF0FF5">
        <w:rPr>
          <w:noProof/>
        </w:rPr>
        <mc:AlternateContent>
          <mc:Choice Requires="wps">
            <w:drawing>
              <wp:anchor distT="0" distB="0" distL="114300" distR="114300" simplePos="0" relativeHeight="251665408" behindDoc="0" locked="0" layoutInCell="1" allowOverlap="1" wp14:anchorId="51A805AC" wp14:editId="53FD374A">
                <wp:simplePos x="0" y="0"/>
                <wp:positionH relativeFrom="column">
                  <wp:posOffset>-123825</wp:posOffset>
                </wp:positionH>
                <wp:positionV relativeFrom="paragraph">
                  <wp:posOffset>3234055</wp:posOffset>
                </wp:positionV>
                <wp:extent cx="6301105" cy="5048250"/>
                <wp:effectExtent l="0" t="0" r="4445" b="0"/>
                <wp:wrapNone/>
                <wp:docPr id="23" name="Retângulo: Cantos Arredondados 23"/>
                <wp:cNvGraphicFramePr/>
                <a:graphic xmlns:a="http://schemas.openxmlformats.org/drawingml/2006/main">
                  <a:graphicData uri="http://schemas.microsoft.com/office/word/2010/wordprocessingShape">
                    <wps:wsp>
                      <wps:cNvSpPr/>
                      <wps:spPr>
                        <a:xfrm>
                          <a:off x="0" y="0"/>
                          <a:ext cx="6301105" cy="5048250"/>
                        </a:xfrm>
                        <a:prstGeom prst="roundRect">
                          <a:avLst>
                            <a:gd name="adj" fmla="val 2516"/>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571EDA4"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805AC" id="Retângulo: Cantos Arredondados 23" o:spid="_x0000_s1031" style="position:absolute;margin-left:-9.75pt;margin-top:254.65pt;width:496.1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" fillcolor="#154b5d" stroked="f" strokeweight="1pt">
                <v:stroke joinstyle="miter"/>
                <v:textbox>
                  <w:txbxContent>
                    <w:p w14:paraId="3571EDA4"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FA244F">
        <w:rPr>
          <w:noProof/>
        </w:rPr>
        <mc:AlternateContent>
          <mc:Choice Requires="wps">
            <w:drawing>
              <wp:anchor distT="0" distB="0" distL="114300" distR="114300" simplePos="0" relativeHeight="251704320" behindDoc="0" locked="0" layoutInCell="1" allowOverlap="1" wp14:anchorId="14BE7A86" wp14:editId="343F05B9">
                <wp:simplePos x="0" y="0"/>
                <wp:positionH relativeFrom="column">
                  <wp:posOffset>-307340</wp:posOffset>
                </wp:positionH>
                <wp:positionV relativeFrom="paragraph">
                  <wp:posOffset>3108325</wp:posOffset>
                </wp:positionV>
                <wp:extent cx="1447800" cy="1466850"/>
                <wp:effectExtent l="0" t="0" r="0" b="0"/>
                <wp:wrapNone/>
                <wp:docPr id="20" name="Retângulo: Cantos Arredondados 20"/>
                <wp:cNvGraphicFramePr/>
                <a:graphic xmlns:a="http://schemas.openxmlformats.org/drawingml/2006/main">
                  <a:graphicData uri="http://schemas.microsoft.com/office/word/2010/wordprocessingShape">
                    <wps:wsp>
                      <wps:cNvSpPr/>
                      <wps:spPr>
                        <a:xfrm>
                          <a:off x="0" y="0"/>
                          <a:ext cx="1447800" cy="1466850"/>
                        </a:xfrm>
                        <a:prstGeom prst="roundRect">
                          <a:avLst>
                            <a:gd name="adj" fmla="val 7456"/>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6B62D" w14:textId="77777777" w:rsidR="00062F68" w:rsidRPr="00A06A28" w:rsidRDefault="00062F68" w:rsidP="00062F68">
                            <w:pPr>
                              <w:jc w:val="center"/>
                              <w:rPr>
                                <w:rFonts w:ascii="Ubuntu" w:hAnsi="Ubuntu"/>
                                <w:b/>
                                <w:bCs/>
                              </w:rPr>
                            </w:pPr>
                            <w:r w:rsidRPr="00106C29">
                              <w:rPr>
                                <w:rFonts w:ascii="Arial" w:hAnsi="Arial" w:cs="Arial"/>
                                <w:b/>
                                <w:bCs/>
                              </w:rPr>
                              <w:t>HIPÓTESES DE APLICAÇÃO</w:t>
                            </w:r>
                            <w:r>
                              <w:rPr>
                                <w:rFonts w:ascii="Ubuntu" w:hAnsi="Ubuntu"/>
                                <w:b/>
                                <w:bCs/>
                                <w:noProof/>
                              </w:rPr>
                              <w:drawing>
                                <wp:inline distT="0" distB="0" distL="0" distR="0" wp14:anchorId="0D97991E" wp14:editId="0BD9D34B">
                                  <wp:extent cx="856788" cy="106235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6253"/>
                                          <a:stretch/>
                                        </pic:blipFill>
                                        <pic:spPr bwMode="auto">
                                          <a:xfrm>
                                            <a:off x="0" y="0"/>
                                            <a:ext cx="857221" cy="106289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E7A86" id="Retângulo: Cantos Arredondados 20" o:spid="_x0000_s1032" style="position:absolute;margin-left:-24.2pt;margin-top:244.75pt;width:114pt;height:1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" fillcolor="#b987b4" stroked="f" strokeweight="1pt">
                <v:stroke joinstyle="miter"/>
                <v:textbox>
                  <w:txbxContent>
                    <w:p w14:paraId="0456B62D" w14:textId="77777777" w:rsidR="00062F68" w:rsidRPr="00A06A28" w:rsidRDefault="00062F68" w:rsidP="00062F68">
                      <w:pPr>
                        <w:jc w:val="center"/>
                        <w:rPr>
                          <w:rFonts w:ascii="Ubuntu" w:hAnsi="Ubuntu"/>
                          <w:b/>
                          <w:bCs/>
                        </w:rPr>
                      </w:pPr>
                      <w:r w:rsidRPr="00106C29">
                        <w:rPr>
                          <w:rFonts w:ascii="Arial" w:hAnsi="Arial" w:cs="Arial"/>
                          <w:b/>
                          <w:bCs/>
                        </w:rPr>
                        <w:t>HIPÓTESES DE APLICAÇÃO</w:t>
                      </w:r>
                      <w:r>
                        <w:rPr>
                          <w:rFonts w:ascii="Ubuntu" w:hAnsi="Ubuntu"/>
                          <w:b/>
                          <w:bCs/>
                          <w:noProof/>
                        </w:rPr>
                        <w:drawing>
                          <wp:inline distT="0" distB="0" distL="0" distR="0" wp14:anchorId="0D97991E" wp14:editId="0BD9D34B">
                            <wp:extent cx="856788" cy="106235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6253"/>
                                    <a:stretch/>
                                  </pic:blipFill>
                                  <pic:spPr bwMode="auto">
                                    <a:xfrm>
                                      <a:off x="0" y="0"/>
                                      <a:ext cx="857221" cy="106289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062F68">
        <w:rPr>
          <w:color w:val="FFFFFF" w:themeColor="background1"/>
        </w:rPr>
        <w:br w:type="page"/>
      </w:r>
    </w:p>
    <w:p w14:paraId="5B34F32E" w14:textId="3CF248A5" w:rsidR="00854C77" w:rsidRDefault="009C1C6E" w:rsidP="00854C77">
      <w:pPr>
        <w:spacing w:after="0" w:line="240" w:lineRule="auto"/>
        <w:ind w:left="2250" w:firstLine="15"/>
        <w:jc w:val="both"/>
        <w:rPr>
          <w:rFonts w:ascii="Times New Roman" w:eastAsia="Times New Roman" w:hAnsi="Times New Roman" w:cs="Times New Roman"/>
          <w:color w:val="000000" w:themeColor="text1"/>
          <w:sz w:val="24"/>
          <w:szCs w:val="24"/>
          <w:lang w:eastAsia="pt-BR"/>
        </w:rPr>
      </w:pPr>
      <w:r>
        <w:rPr>
          <w:noProof/>
          <w:color w:val="FFFFFF" w:themeColor="background1"/>
        </w:rPr>
        <w:lastRenderedPageBreak/>
        <w:drawing>
          <wp:anchor distT="0" distB="0" distL="114300" distR="114300" simplePos="0" relativeHeight="251705344" behindDoc="0" locked="0" layoutInCell="1" allowOverlap="1" wp14:anchorId="4EE46788" wp14:editId="1D69D6F9">
            <wp:simplePos x="0" y="0"/>
            <wp:positionH relativeFrom="column">
              <wp:posOffset>5318125</wp:posOffset>
            </wp:positionH>
            <wp:positionV relativeFrom="paragraph">
              <wp:posOffset>7777480</wp:posOffset>
            </wp:positionV>
            <wp:extent cx="914400" cy="91440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5">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C2F39">
        <w:rPr>
          <w:noProof/>
          <w:color w:val="FFFFFF" w:themeColor="background1"/>
        </w:rPr>
        <mc:AlternateContent>
          <mc:Choice Requires="wps">
            <w:drawing>
              <wp:anchor distT="0" distB="0" distL="114300" distR="114300" simplePos="0" relativeHeight="251678720" behindDoc="0" locked="0" layoutInCell="1" allowOverlap="1" wp14:anchorId="2FDA3171" wp14:editId="70CB5D00">
                <wp:simplePos x="0" y="0"/>
                <wp:positionH relativeFrom="column">
                  <wp:posOffset>1431290</wp:posOffset>
                </wp:positionH>
                <wp:positionV relativeFrom="paragraph">
                  <wp:posOffset>3935095</wp:posOffset>
                </wp:positionV>
                <wp:extent cx="1685925" cy="276860"/>
                <wp:effectExtent l="0" t="0" r="9525" b="8890"/>
                <wp:wrapNone/>
                <wp:docPr id="71" name="Retângulo: Cantos Arredondados 71"/>
                <wp:cNvGraphicFramePr/>
                <a:graphic xmlns:a="http://schemas.openxmlformats.org/drawingml/2006/main">
                  <a:graphicData uri="http://schemas.microsoft.com/office/word/2010/wordprocessingShape">
                    <wps:wsp>
                      <wps:cNvSpPr/>
                      <wps:spPr>
                        <a:xfrm>
                          <a:off x="0" y="0"/>
                          <a:ext cx="1685925" cy="276860"/>
                        </a:xfrm>
                        <a:prstGeom prst="roundRect">
                          <a:avLst/>
                        </a:prstGeom>
                        <a:solidFill>
                          <a:srgbClr val="00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6C95E" w14:textId="77777777" w:rsidR="00062F68" w:rsidRPr="00106C29" w:rsidRDefault="00062F68" w:rsidP="00062F68">
                            <w:pPr>
                              <w:rPr>
                                <w:rFonts w:ascii="Arial" w:hAnsi="Arial" w:cs="Arial"/>
                                <w:color w:val="000000" w:themeColor="text1"/>
                                <w:sz w:val="20"/>
                                <w:szCs w:val="20"/>
                              </w:rPr>
                            </w:pPr>
                            <w:r w:rsidRPr="00106C29">
                              <w:rPr>
                                <w:rFonts w:ascii="Arial" w:hAnsi="Arial" w:cs="Arial"/>
                                <w:color w:val="000000" w:themeColor="text1"/>
                                <w:sz w:val="20"/>
                                <w:szCs w:val="20"/>
                              </w:rPr>
                              <w:t>Texto destacado em Azul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A3171" id="Retângulo: Cantos Arredondados 71" o:spid="_x0000_s1033" style="position:absolute;left:0;text-align:left;margin-left:112.7pt;margin-top:309.85pt;width:132.75pt;height:2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" fillcolor="aqua" stroked="f" strokeweight="1pt">
                <v:stroke joinstyle="miter"/>
                <v:textbox>
                  <w:txbxContent>
                    <w:p w14:paraId="67F6C95E" w14:textId="77777777" w:rsidR="00062F68" w:rsidRPr="00106C29" w:rsidRDefault="00062F68" w:rsidP="00062F68">
                      <w:pPr>
                        <w:rPr>
                          <w:rFonts w:ascii="Arial" w:hAnsi="Arial" w:cs="Arial"/>
                          <w:color w:val="000000" w:themeColor="text1"/>
                          <w:sz w:val="20"/>
                          <w:szCs w:val="20"/>
                        </w:rPr>
                      </w:pPr>
                      <w:r w:rsidRPr="00106C29">
                        <w:rPr>
                          <w:rFonts w:ascii="Arial" w:hAnsi="Arial" w:cs="Arial"/>
                          <w:color w:val="000000" w:themeColor="text1"/>
                          <w:sz w:val="20"/>
                          <w:szCs w:val="20"/>
                        </w:rPr>
                        <w:t>Texto destacado em Azul</w:t>
                      </w:r>
                    </w:p>
                  </w:txbxContent>
                </v:textbox>
              </v:roundrect>
            </w:pict>
          </mc:Fallback>
        </mc:AlternateContent>
      </w:r>
      <w:r w:rsidR="003C2F39">
        <w:rPr>
          <w:noProof/>
          <w:color w:val="FFFFFF" w:themeColor="background1"/>
        </w:rPr>
        <mc:AlternateContent>
          <mc:Choice Requires="wps">
            <w:drawing>
              <wp:anchor distT="0" distB="0" distL="114300" distR="114300" simplePos="0" relativeHeight="251675648" behindDoc="0" locked="0" layoutInCell="1" allowOverlap="1" wp14:anchorId="3E7084EB" wp14:editId="44BBBE30">
                <wp:simplePos x="0" y="0"/>
                <wp:positionH relativeFrom="column">
                  <wp:posOffset>1421765</wp:posOffset>
                </wp:positionH>
                <wp:positionV relativeFrom="paragraph">
                  <wp:posOffset>2849245</wp:posOffset>
                </wp:positionV>
                <wp:extent cx="1684655" cy="276225"/>
                <wp:effectExtent l="0" t="0" r="0" b="9525"/>
                <wp:wrapNone/>
                <wp:docPr id="66" name="Retângulo: Cantos Arredondados 66"/>
                <wp:cNvGraphicFramePr/>
                <a:graphic xmlns:a="http://schemas.openxmlformats.org/drawingml/2006/main">
                  <a:graphicData uri="http://schemas.microsoft.com/office/word/2010/wordprocessingShape">
                    <wps:wsp>
                      <wps:cNvSpPr/>
                      <wps:spPr>
                        <a:xfrm>
                          <a:off x="0" y="0"/>
                          <a:ext cx="1684655" cy="2762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C5ED9" w14:textId="77777777" w:rsidR="00062F68" w:rsidRPr="00106C29" w:rsidRDefault="00062F68" w:rsidP="00062F68">
                            <w:pPr>
                              <w:rPr>
                                <w:rFonts w:ascii="Arial" w:hAnsi="Arial" w:cs="Arial"/>
                                <w:color w:val="003366"/>
                              </w:rPr>
                            </w:pPr>
                            <w:r w:rsidRPr="00106C29">
                              <w:rPr>
                                <w:rFonts w:ascii="Arial" w:eastAsia="Times New Roman" w:hAnsi="Arial" w:cs="Arial"/>
                                <w:color w:val="003366"/>
                                <w:sz w:val="20"/>
                                <w:szCs w:val="20"/>
                                <w:highlight w:val="yellow"/>
                              </w:rPr>
                              <w:t>Notas explicativas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084EB" id="Retângulo: Cantos Arredondados 66" o:spid="_x0000_s1034" style="position:absolute;left:0;text-align:left;margin-left:111.95pt;margin-top:224.35pt;width:132.6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" fillcolor="yellow" stroked="f" strokeweight="1pt">
                <v:stroke joinstyle="miter"/>
                <v:textbox>
                  <w:txbxContent>
                    <w:p w14:paraId="774C5ED9" w14:textId="77777777" w:rsidR="00062F68" w:rsidRPr="00106C29" w:rsidRDefault="00062F68" w:rsidP="00062F68">
                      <w:pPr>
                        <w:rPr>
                          <w:rFonts w:ascii="Arial" w:hAnsi="Arial" w:cs="Arial"/>
                          <w:color w:val="003366"/>
                        </w:rPr>
                      </w:pPr>
                      <w:r w:rsidRPr="00106C29">
                        <w:rPr>
                          <w:rFonts w:ascii="Arial" w:eastAsia="Times New Roman" w:hAnsi="Arial" w:cs="Arial"/>
                          <w:color w:val="003366"/>
                          <w:sz w:val="20"/>
                          <w:szCs w:val="20"/>
                          <w:highlight w:val="yellow"/>
                        </w:rPr>
                        <w:t>Notas explicativas</w:t>
                      </w:r>
                    </w:p>
                  </w:txbxContent>
                </v:textbox>
              </v:roundrect>
            </w:pict>
          </mc:Fallback>
        </mc:AlternateContent>
      </w:r>
      <w:r w:rsidR="003C2F39">
        <w:rPr>
          <w:noProof/>
          <w:color w:val="FFFFFF" w:themeColor="background1"/>
        </w:rPr>
        <mc:AlternateContent>
          <mc:Choice Requires="wps">
            <w:drawing>
              <wp:anchor distT="0" distB="0" distL="114300" distR="114300" simplePos="0" relativeHeight="251677696" behindDoc="0" locked="0" layoutInCell="1" allowOverlap="1" wp14:anchorId="13B0513C" wp14:editId="717C1492">
                <wp:simplePos x="0" y="0"/>
                <wp:positionH relativeFrom="column">
                  <wp:posOffset>1431290</wp:posOffset>
                </wp:positionH>
                <wp:positionV relativeFrom="paragraph">
                  <wp:posOffset>3573145</wp:posOffset>
                </wp:positionV>
                <wp:extent cx="1684655" cy="276860"/>
                <wp:effectExtent l="0" t="0" r="0" b="8890"/>
                <wp:wrapNone/>
                <wp:docPr id="70" name="Retângulo: Cantos Arredondados 70"/>
                <wp:cNvGraphicFramePr/>
                <a:graphic xmlns:a="http://schemas.openxmlformats.org/drawingml/2006/main">
                  <a:graphicData uri="http://schemas.microsoft.com/office/word/2010/wordprocessingShape">
                    <wps:wsp>
                      <wps:cNvSpPr/>
                      <wps:spPr>
                        <a:xfrm>
                          <a:off x="0" y="0"/>
                          <a:ext cx="1684655" cy="27686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57981" w14:textId="77777777" w:rsidR="00062F68" w:rsidRPr="00106C29" w:rsidRDefault="00062F68" w:rsidP="00062F68">
                            <w:pPr>
                              <w:rPr>
                                <w:rFonts w:ascii="Arial" w:hAnsi="Arial" w:cs="Arial"/>
                                <w:color w:val="FF0000"/>
                                <w:sz w:val="20"/>
                                <w:szCs w:val="20"/>
                              </w:rPr>
                            </w:pPr>
                            <w:r w:rsidRPr="00106C29">
                              <w:rPr>
                                <w:rFonts w:ascii="Arial" w:hAnsi="Arial" w:cs="Arial"/>
                                <w:color w:val="FF0000"/>
                                <w:sz w:val="20"/>
                                <w:szCs w:val="20"/>
                              </w:rPr>
                              <w:t>Texto na cor Vermelha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0513C" id="Retângulo: Cantos Arredondados 70" o:spid="_x0000_s1035" style="position:absolute;left:0;text-align:left;margin-left:112.7pt;margin-top:281.35pt;width:132.6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" fillcolor="white [3212]" stroked="f" strokeweight="1pt">
                <v:stroke joinstyle="miter"/>
                <v:textbox>
                  <w:txbxContent>
                    <w:p w14:paraId="3E257981" w14:textId="77777777" w:rsidR="00062F68" w:rsidRPr="00106C29" w:rsidRDefault="00062F68" w:rsidP="00062F68">
                      <w:pPr>
                        <w:rPr>
                          <w:rFonts w:ascii="Arial" w:hAnsi="Arial" w:cs="Arial"/>
                          <w:color w:val="FF0000"/>
                          <w:sz w:val="20"/>
                          <w:szCs w:val="20"/>
                        </w:rPr>
                      </w:pPr>
                      <w:r w:rsidRPr="00106C29">
                        <w:rPr>
                          <w:rFonts w:ascii="Arial" w:hAnsi="Arial" w:cs="Arial"/>
                          <w:color w:val="FF0000"/>
                          <w:sz w:val="20"/>
                          <w:szCs w:val="20"/>
                        </w:rPr>
                        <w:t>Texto na cor Vermelha</w:t>
                      </w:r>
                    </w:p>
                  </w:txbxContent>
                </v:textbox>
              </v:roundrect>
            </w:pict>
          </mc:Fallback>
        </mc:AlternateContent>
      </w:r>
      <w:r w:rsidR="003C2F39">
        <w:rPr>
          <w:noProof/>
          <w:color w:val="FFFFFF" w:themeColor="background1"/>
        </w:rPr>
        <mc:AlternateContent>
          <mc:Choice Requires="wps">
            <w:drawing>
              <wp:anchor distT="0" distB="0" distL="114300" distR="114300" simplePos="0" relativeHeight="251676672" behindDoc="0" locked="0" layoutInCell="1" allowOverlap="1" wp14:anchorId="3A3BF7F3" wp14:editId="402E1CC6">
                <wp:simplePos x="0" y="0"/>
                <wp:positionH relativeFrom="column">
                  <wp:posOffset>1431290</wp:posOffset>
                </wp:positionH>
                <wp:positionV relativeFrom="paragraph">
                  <wp:posOffset>3211195</wp:posOffset>
                </wp:positionV>
                <wp:extent cx="1684655" cy="276860"/>
                <wp:effectExtent l="0" t="0" r="0" b="8890"/>
                <wp:wrapNone/>
                <wp:docPr id="69" name="Retângulo: Cantos Arredondados 69"/>
                <wp:cNvGraphicFramePr/>
                <a:graphic xmlns:a="http://schemas.openxmlformats.org/drawingml/2006/main">
                  <a:graphicData uri="http://schemas.microsoft.com/office/word/2010/wordprocessingShape">
                    <wps:wsp>
                      <wps:cNvSpPr/>
                      <wps:spPr>
                        <a:xfrm>
                          <a:off x="0" y="0"/>
                          <a:ext cx="1684655" cy="27686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47188" w14:textId="77777777" w:rsidR="00062F68" w:rsidRPr="00106C29" w:rsidRDefault="00062F68" w:rsidP="00062F68">
                            <w:pPr>
                              <w:rPr>
                                <w:rFonts w:ascii="Arial" w:hAnsi="Arial" w:cs="Arial"/>
                                <w:color w:val="000000" w:themeColor="text1"/>
                                <w:sz w:val="20"/>
                                <w:szCs w:val="20"/>
                              </w:rPr>
                            </w:pPr>
                            <w:r w:rsidRPr="00106C29">
                              <w:rPr>
                                <w:rFonts w:ascii="Arial" w:hAnsi="Arial" w:cs="Arial"/>
                                <w:color w:val="000000" w:themeColor="text1"/>
                                <w:sz w:val="20"/>
                                <w:szCs w:val="20"/>
                              </w:rPr>
                              <w:t>Texto na cor Preta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BF7F3" id="Retângulo: Cantos Arredondados 69" o:spid="_x0000_s1036" style="position:absolute;left:0;text-align:left;margin-left:112.7pt;margin-top:252.85pt;width:132.6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" fillcolor="white [3212]" stroked="f" strokeweight="1pt">
                <v:stroke joinstyle="miter"/>
                <v:textbox>
                  <w:txbxContent>
                    <w:p w14:paraId="79147188" w14:textId="77777777" w:rsidR="00062F68" w:rsidRPr="00106C29" w:rsidRDefault="00062F68" w:rsidP="00062F68">
                      <w:pPr>
                        <w:rPr>
                          <w:rFonts w:ascii="Arial" w:hAnsi="Arial" w:cs="Arial"/>
                          <w:color w:val="000000" w:themeColor="text1"/>
                          <w:sz w:val="20"/>
                          <w:szCs w:val="20"/>
                        </w:rPr>
                      </w:pPr>
                      <w:r w:rsidRPr="00106C29">
                        <w:rPr>
                          <w:rFonts w:ascii="Arial" w:hAnsi="Arial" w:cs="Arial"/>
                          <w:color w:val="000000" w:themeColor="text1"/>
                          <w:sz w:val="20"/>
                          <w:szCs w:val="20"/>
                        </w:rPr>
                        <w:t>Texto na cor Preta</w:t>
                      </w:r>
                    </w:p>
                  </w:txbxContent>
                </v:textbox>
              </v:roundrect>
            </w:pict>
          </mc:Fallback>
        </mc:AlternateContent>
      </w:r>
      <w:r w:rsidR="003C2F39" w:rsidRPr="001D2597">
        <w:rPr>
          <w:noProof/>
          <w:color w:val="FFFFFF" w:themeColor="background1"/>
        </w:rPr>
        <mc:AlternateContent>
          <mc:Choice Requires="wps">
            <w:drawing>
              <wp:anchor distT="0" distB="0" distL="114300" distR="114300" simplePos="0" relativeHeight="251674624" behindDoc="0" locked="0" layoutInCell="1" allowOverlap="1" wp14:anchorId="73C8658E" wp14:editId="4412BBF6">
                <wp:simplePos x="0" y="0"/>
                <wp:positionH relativeFrom="column">
                  <wp:posOffset>-263525</wp:posOffset>
                </wp:positionH>
                <wp:positionV relativeFrom="paragraph">
                  <wp:posOffset>2486660</wp:posOffset>
                </wp:positionV>
                <wp:extent cx="1447800" cy="1552575"/>
                <wp:effectExtent l="0" t="0" r="0" b="9525"/>
                <wp:wrapNone/>
                <wp:docPr id="55" name="Retângulo: Cantos Arredondados 55"/>
                <wp:cNvGraphicFramePr/>
                <a:graphic xmlns:a="http://schemas.openxmlformats.org/drawingml/2006/main">
                  <a:graphicData uri="http://schemas.microsoft.com/office/word/2010/wordprocessingShape">
                    <wps:wsp>
                      <wps:cNvSpPr/>
                      <wps:spPr>
                        <a:xfrm>
                          <a:off x="0" y="0"/>
                          <a:ext cx="1447800" cy="1552575"/>
                        </a:xfrm>
                        <a:prstGeom prst="roundRect">
                          <a:avLst>
                            <a:gd name="adj" fmla="val 8772"/>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0CC0C1" w14:textId="77777777" w:rsidR="00062F68" w:rsidRPr="00106C29" w:rsidRDefault="00062F68" w:rsidP="00062F68">
                            <w:pPr>
                              <w:jc w:val="center"/>
                              <w:rPr>
                                <w:rFonts w:ascii="Arial" w:hAnsi="Arial" w:cs="Arial"/>
                                <w:b/>
                                <w:bCs/>
                              </w:rPr>
                            </w:pPr>
                            <w:r w:rsidRPr="00106C29">
                              <w:rPr>
                                <w:rFonts w:ascii="Arial" w:hAnsi="Arial" w:cs="Arial"/>
                                <w:b/>
                                <w:bCs/>
                              </w:rPr>
                              <w:t>COMO USAR?</w:t>
                            </w:r>
                          </w:p>
                          <w:p w14:paraId="3E4B6030" w14:textId="77777777" w:rsidR="00062F68" w:rsidRPr="00A06A28" w:rsidRDefault="00062F68" w:rsidP="00062F68">
                            <w:pPr>
                              <w:jc w:val="center"/>
                              <w:rPr>
                                <w:rFonts w:ascii="Ubuntu" w:hAnsi="Ubuntu"/>
                                <w:b/>
                                <w:bCs/>
                              </w:rPr>
                            </w:pPr>
                            <w:r>
                              <w:rPr>
                                <w:rFonts w:ascii="Ubuntu" w:hAnsi="Ubuntu"/>
                                <w:b/>
                                <w:bCs/>
                                <w:noProof/>
                              </w:rPr>
                              <w:drawing>
                                <wp:inline distT="0" distB="0" distL="0" distR="0" wp14:anchorId="1B717B90" wp14:editId="6B9E0B77">
                                  <wp:extent cx="923925" cy="1073964"/>
                                  <wp:effectExtent l="0" t="0" r="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7416" cy="10780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8658E" id="Retângulo: Cantos Arredondados 55" o:spid="_x0000_s1037" style="position:absolute;left:0;text-align:left;margin-left:-20.75pt;margin-top:195.8pt;width:114pt;height:1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" fillcolor="#b987b4" stroked="f" strokeweight="1pt">
                <v:stroke joinstyle="miter"/>
                <v:textbox>
                  <w:txbxContent>
                    <w:p w14:paraId="020CC0C1" w14:textId="77777777" w:rsidR="00062F68" w:rsidRPr="00106C29" w:rsidRDefault="00062F68" w:rsidP="00062F68">
                      <w:pPr>
                        <w:jc w:val="center"/>
                        <w:rPr>
                          <w:rFonts w:ascii="Arial" w:hAnsi="Arial" w:cs="Arial"/>
                          <w:b/>
                          <w:bCs/>
                        </w:rPr>
                      </w:pPr>
                      <w:r w:rsidRPr="00106C29">
                        <w:rPr>
                          <w:rFonts w:ascii="Arial" w:hAnsi="Arial" w:cs="Arial"/>
                          <w:b/>
                          <w:bCs/>
                        </w:rPr>
                        <w:t>COMO USAR?</w:t>
                      </w:r>
                    </w:p>
                    <w:p w14:paraId="3E4B6030" w14:textId="77777777" w:rsidR="00062F68" w:rsidRPr="00A06A28" w:rsidRDefault="00062F68" w:rsidP="00062F68">
                      <w:pPr>
                        <w:jc w:val="center"/>
                        <w:rPr>
                          <w:rFonts w:ascii="Ubuntu" w:hAnsi="Ubuntu"/>
                          <w:b/>
                          <w:bCs/>
                        </w:rPr>
                      </w:pPr>
                      <w:r>
                        <w:rPr>
                          <w:rFonts w:ascii="Ubuntu" w:hAnsi="Ubuntu"/>
                          <w:b/>
                          <w:bCs/>
                          <w:noProof/>
                        </w:rPr>
                        <w:drawing>
                          <wp:inline distT="0" distB="0" distL="0" distR="0" wp14:anchorId="1B717B90" wp14:editId="6B9E0B77">
                            <wp:extent cx="923925" cy="1073964"/>
                            <wp:effectExtent l="0" t="0" r="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7416" cy="1078022"/>
                                    </a:xfrm>
                                    <a:prstGeom prst="rect">
                                      <a:avLst/>
                                    </a:prstGeom>
                                    <a:noFill/>
                                    <a:ln>
                                      <a:noFill/>
                                    </a:ln>
                                  </pic:spPr>
                                </pic:pic>
                              </a:graphicData>
                            </a:graphic>
                          </wp:inline>
                        </w:drawing>
                      </w:r>
                    </w:p>
                  </w:txbxContent>
                </v:textbox>
              </v:roundrect>
            </w:pict>
          </mc:Fallback>
        </mc:AlternateContent>
      </w:r>
      <w:r w:rsidR="003C2F39" w:rsidRPr="001D2597">
        <w:rPr>
          <w:noProof/>
          <w:color w:val="FFFFFF" w:themeColor="background1"/>
        </w:rPr>
        <mc:AlternateContent>
          <mc:Choice Requires="wps">
            <w:drawing>
              <wp:anchor distT="0" distB="0" distL="114300" distR="114300" simplePos="0" relativeHeight="251673600" behindDoc="0" locked="0" layoutInCell="1" allowOverlap="1" wp14:anchorId="747F6DBD" wp14:editId="1DC192A7">
                <wp:simplePos x="0" y="0"/>
                <wp:positionH relativeFrom="column">
                  <wp:posOffset>28575</wp:posOffset>
                </wp:positionH>
                <wp:positionV relativeFrom="paragraph">
                  <wp:posOffset>2699385</wp:posOffset>
                </wp:positionV>
                <wp:extent cx="6299835" cy="2658110"/>
                <wp:effectExtent l="19050" t="19050" r="24765" b="27940"/>
                <wp:wrapNone/>
                <wp:docPr id="54" name="Retângulo: Cantos Arredondados 54"/>
                <wp:cNvGraphicFramePr/>
                <a:graphic xmlns:a="http://schemas.openxmlformats.org/drawingml/2006/main">
                  <a:graphicData uri="http://schemas.microsoft.com/office/word/2010/wordprocessingShape">
                    <wps:wsp>
                      <wps:cNvSpPr/>
                      <wps:spPr>
                        <a:xfrm>
                          <a:off x="0" y="0"/>
                          <a:ext cx="6299835" cy="2658110"/>
                        </a:xfrm>
                        <a:prstGeom prst="roundRect">
                          <a:avLst>
                            <a:gd name="adj" fmla="val 3454"/>
                          </a:avLst>
                        </a:prstGeom>
                        <a:noFill/>
                        <a:ln w="28575">
                          <a:solidFill>
                            <a:srgbClr val="B987B4"/>
                          </a:solidFill>
                        </a:ln>
                      </wps:spPr>
                      <wps:style>
                        <a:lnRef idx="2">
                          <a:schemeClr val="dk1">
                            <a:shade val="50000"/>
                          </a:schemeClr>
                        </a:lnRef>
                        <a:fillRef idx="1">
                          <a:schemeClr val="dk1"/>
                        </a:fillRef>
                        <a:effectRef idx="0">
                          <a:schemeClr val="dk1"/>
                        </a:effectRef>
                        <a:fontRef idx="minor">
                          <a:schemeClr val="lt1"/>
                        </a:fontRef>
                      </wps:style>
                      <wps:txbx>
                        <w:txbxContent>
                          <w:p w14:paraId="5BB05F4D"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r>
                              <w:rPr>
                                <w:rFonts w:ascii="Ubuntu" w:eastAsia="Times New Roman" w:hAnsi="Ubuntu" w:cs="Times New Roman"/>
                                <w:color w:val="FFFFFF" w:themeColor="background1"/>
                                <w:sz w:val="20"/>
                                <w:szCs w:val="20"/>
                              </w:rPr>
                              <w:t xml:space="preserve">                                                        </w:t>
                            </w:r>
                            <w:r w:rsidRPr="001D2597">
                              <w:rPr>
                                <w:rFonts w:ascii="Ubuntu" w:eastAsia="Times New Roman" w:hAnsi="Ubuntu" w:cs="Times New Roman"/>
                                <w:color w:val="FFFFFF" w:themeColor="background1"/>
                                <w:sz w:val="20"/>
                                <w:szCs w:val="20"/>
                              </w:rPr>
                              <w:t xml:space="preserve"> </w:t>
                            </w:r>
                          </w:p>
                          <w:p w14:paraId="1844F400"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2851747A"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57EE22F1"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65BF6159"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7A067F73" w14:textId="77777777" w:rsidR="00062F68" w:rsidRPr="008D09FB" w:rsidRDefault="00062F68" w:rsidP="00062F68">
                            <w:pPr>
                              <w:rPr>
                                <w:rFonts w:ascii="Ubuntu" w:hAnsi="Ubuntu"/>
                                <w:color w:val="FFFFFF" w:themeColor="background1"/>
                                <w:sz w:val="20"/>
                                <w:szCs w:val="20"/>
                              </w:rPr>
                            </w:pPr>
                          </w:p>
                          <w:p w14:paraId="66546319" w14:textId="77777777" w:rsidR="00062F68" w:rsidRDefault="00062F68" w:rsidP="00062F68">
                            <w:pPr>
                              <w:pStyle w:val="PargrafodaLista"/>
                              <w:ind w:left="2136"/>
                              <w:rPr>
                                <w:rFonts w:ascii="Ubuntu" w:hAnsi="Ubuntu"/>
                                <w:color w:val="FFFFFF" w:themeColor="background1"/>
                                <w:sz w:val="20"/>
                                <w:szCs w:val="20"/>
                              </w:rPr>
                            </w:pPr>
                          </w:p>
                          <w:p w14:paraId="4E6AADE4" w14:textId="77777777" w:rsidR="00062F68" w:rsidRDefault="00062F68" w:rsidP="00062F68">
                            <w:pPr>
                              <w:rPr>
                                <w:rFonts w:ascii="Ubuntu" w:hAnsi="Ubuntu"/>
                                <w:color w:val="FFFFFF" w:themeColor="background1"/>
                                <w:sz w:val="20"/>
                                <w:szCs w:val="20"/>
                              </w:rPr>
                            </w:pPr>
                          </w:p>
                          <w:p w14:paraId="6D9DEEAC" w14:textId="77777777" w:rsidR="00062F68" w:rsidRPr="00106C29" w:rsidRDefault="00062F68" w:rsidP="00062F68">
                            <w:pPr>
                              <w:rPr>
                                <w:rFonts w:ascii="Arial" w:hAnsi="Arial" w:cs="Arial"/>
                                <w:color w:val="FFFFFF" w:themeColor="background1"/>
                                <w:sz w:val="20"/>
                                <w:szCs w:val="20"/>
                              </w:rPr>
                            </w:pPr>
                          </w:p>
                          <w:p w14:paraId="5EDA3D6F" w14:textId="77777777" w:rsidR="00062F68" w:rsidRPr="00106C29" w:rsidRDefault="00062F68" w:rsidP="00062F68">
                            <w:pPr>
                              <w:pStyle w:val="PargrafodaLista"/>
                              <w:numPr>
                                <w:ilvl w:val="0"/>
                                <w:numId w:val="30"/>
                              </w:numPr>
                              <w:ind w:left="2268" w:hanging="283"/>
                              <w:rPr>
                                <w:rFonts w:ascii="Arial" w:hAnsi="Arial" w:cs="Arial"/>
                                <w:color w:val="FFFFFF" w:themeColor="background1"/>
                                <w:sz w:val="20"/>
                                <w:szCs w:val="20"/>
                              </w:rPr>
                            </w:pPr>
                            <w:r w:rsidRPr="00106C29">
                              <w:rPr>
                                <w:rFonts w:ascii="Arial" w:eastAsia="Calibri" w:hAnsi="Arial" w:cs="Arial"/>
                                <w:color w:val="FFFFFF" w:themeColor="background1"/>
                                <w:sz w:val="20"/>
                                <w:szCs w:val="20"/>
                              </w:rPr>
                              <w:t xml:space="preserve">Todas as marcações de cores e sugestões de redação não utilizadas devem </w:t>
                            </w:r>
                            <w:r w:rsidRPr="00106C29">
                              <w:rPr>
                                <w:rFonts w:ascii="Arial" w:eastAsia="Calibri" w:hAnsi="Arial" w:cs="Arial"/>
                                <w:color w:val="FFFFFF" w:themeColor="background1"/>
                                <w:sz w:val="20"/>
                                <w:szCs w:val="20"/>
                              </w:rPr>
                              <w:br/>
                              <w:t>ser excluídas do texto final do parecer, inclusive esse quadro explicativo.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F6DBD" id="Retângulo: Cantos Arredondados 54" o:spid="_x0000_s1038" style="position:absolute;left:0;text-align:left;margin-left:2.25pt;margin-top:212.55pt;width:496.05pt;height:20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" filled="f" strokecolor="#b987b4" strokeweight="2.25pt">
                <v:stroke joinstyle="miter"/>
                <v:textbox>
                  <w:txbxContent>
                    <w:p w14:paraId="5BB05F4D"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r>
                        <w:rPr>
                          <w:rFonts w:ascii="Ubuntu" w:eastAsia="Times New Roman" w:hAnsi="Ubuntu" w:cs="Times New Roman"/>
                          <w:color w:val="FFFFFF" w:themeColor="background1"/>
                          <w:sz w:val="20"/>
                          <w:szCs w:val="20"/>
                        </w:rPr>
                        <w:t xml:space="preserve">                                                        </w:t>
                      </w:r>
                      <w:r w:rsidRPr="001D2597">
                        <w:rPr>
                          <w:rFonts w:ascii="Ubuntu" w:eastAsia="Times New Roman" w:hAnsi="Ubuntu" w:cs="Times New Roman"/>
                          <w:color w:val="FFFFFF" w:themeColor="background1"/>
                          <w:sz w:val="20"/>
                          <w:szCs w:val="20"/>
                        </w:rPr>
                        <w:t xml:space="preserve"> </w:t>
                      </w:r>
                    </w:p>
                    <w:p w14:paraId="1844F400"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2851747A"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57EE22F1"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65BF6159"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7A067F73" w14:textId="77777777" w:rsidR="00062F68" w:rsidRPr="008D09FB" w:rsidRDefault="00062F68" w:rsidP="00062F68">
                      <w:pPr>
                        <w:rPr>
                          <w:rFonts w:ascii="Ubuntu" w:hAnsi="Ubuntu"/>
                          <w:color w:val="FFFFFF" w:themeColor="background1"/>
                          <w:sz w:val="20"/>
                          <w:szCs w:val="20"/>
                        </w:rPr>
                      </w:pPr>
                    </w:p>
                    <w:p w14:paraId="66546319" w14:textId="77777777" w:rsidR="00062F68" w:rsidRDefault="00062F68" w:rsidP="00062F68">
                      <w:pPr>
                        <w:pStyle w:val="PargrafodaLista"/>
                        <w:ind w:left="2136"/>
                        <w:rPr>
                          <w:rFonts w:ascii="Ubuntu" w:hAnsi="Ubuntu"/>
                          <w:color w:val="FFFFFF" w:themeColor="background1"/>
                          <w:sz w:val="20"/>
                          <w:szCs w:val="20"/>
                        </w:rPr>
                      </w:pPr>
                    </w:p>
                    <w:p w14:paraId="4E6AADE4" w14:textId="77777777" w:rsidR="00062F68" w:rsidRDefault="00062F68" w:rsidP="00062F68">
                      <w:pPr>
                        <w:rPr>
                          <w:rFonts w:ascii="Ubuntu" w:hAnsi="Ubuntu"/>
                          <w:color w:val="FFFFFF" w:themeColor="background1"/>
                          <w:sz w:val="20"/>
                          <w:szCs w:val="20"/>
                        </w:rPr>
                      </w:pPr>
                    </w:p>
                    <w:p w14:paraId="6D9DEEAC" w14:textId="77777777" w:rsidR="00062F68" w:rsidRPr="00106C29" w:rsidRDefault="00062F68" w:rsidP="00062F68">
                      <w:pPr>
                        <w:rPr>
                          <w:rFonts w:ascii="Arial" w:hAnsi="Arial" w:cs="Arial"/>
                          <w:color w:val="FFFFFF" w:themeColor="background1"/>
                          <w:sz w:val="20"/>
                          <w:szCs w:val="20"/>
                        </w:rPr>
                      </w:pPr>
                    </w:p>
                    <w:p w14:paraId="5EDA3D6F" w14:textId="77777777" w:rsidR="00062F68" w:rsidRPr="00106C29" w:rsidRDefault="00062F68" w:rsidP="00062F68">
                      <w:pPr>
                        <w:pStyle w:val="PargrafodaLista"/>
                        <w:numPr>
                          <w:ilvl w:val="0"/>
                          <w:numId w:val="30"/>
                        </w:numPr>
                        <w:ind w:left="2268" w:hanging="283"/>
                        <w:rPr>
                          <w:rFonts w:ascii="Arial" w:hAnsi="Arial" w:cs="Arial"/>
                          <w:color w:val="FFFFFF" w:themeColor="background1"/>
                          <w:sz w:val="20"/>
                          <w:szCs w:val="20"/>
                        </w:rPr>
                      </w:pPr>
                      <w:r w:rsidRPr="00106C29">
                        <w:rPr>
                          <w:rFonts w:ascii="Arial" w:eastAsia="Calibri" w:hAnsi="Arial" w:cs="Arial"/>
                          <w:color w:val="FFFFFF" w:themeColor="background1"/>
                          <w:sz w:val="20"/>
                          <w:szCs w:val="20"/>
                        </w:rPr>
                        <w:t xml:space="preserve">Todas as marcações de cores e sugestões de redação não utilizadas devem </w:t>
                      </w:r>
                      <w:r w:rsidRPr="00106C29">
                        <w:rPr>
                          <w:rFonts w:ascii="Arial" w:eastAsia="Calibri" w:hAnsi="Arial" w:cs="Arial"/>
                          <w:color w:val="FFFFFF" w:themeColor="background1"/>
                          <w:sz w:val="20"/>
                          <w:szCs w:val="20"/>
                        </w:rPr>
                        <w:br/>
                        <w:t>ser excluídas do texto final do parecer, inclusive esse quadro explicativo.</w:t>
                      </w:r>
                    </w:p>
                  </w:txbxContent>
                </v:textbox>
              </v:roundrect>
            </w:pict>
          </mc:Fallback>
        </mc:AlternateContent>
      </w:r>
      <w:r w:rsidR="003C2F39" w:rsidRPr="001D2597">
        <w:rPr>
          <w:noProof/>
          <w:color w:val="FFFFFF" w:themeColor="background1"/>
        </w:rPr>
        <mc:AlternateContent>
          <mc:Choice Requires="wps">
            <w:drawing>
              <wp:anchor distT="0" distB="0" distL="114300" distR="114300" simplePos="0" relativeHeight="251672576" behindDoc="0" locked="0" layoutInCell="1" allowOverlap="1" wp14:anchorId="772D8E45" wp14:editId="2623D2AF">
                <wp:simplePos x="0" y="0"/>
                <wp:positionH relativeFrom="column">
                  <wp:posOffset>-86995</wp:posOffset>
                </wp:positionH>
                <wp:positionV relativeFrom="paragraph">
                  <wp:posOffset>2602230</wp:posOffset>
                </wp:positionV>
                <wp:extent cx="6299835" cy="2626360"/>
                <wp:effectExtent l="0" t="0" r="5715" b="2540"/>
                <wp:wrapNone/>
                <wp:docPr id="53" name="Retângulo: Cantos Arredondados 53"/>
                <wp:cNvGraphicFramePr/>
                <a:graphic xmlns:a="http://schemas.openxmlformats.org/drawingml/2006/main">
                  <a:graphicData uri="http://schemas.microsoft.com/office/word/2010/wordprocessingShape">
                    <wps:wsp>
                      <wps:cNvSpPr/>
                      <wps:spPr>
                        <a:xfrm>
                          <a:off x="0" y="0"/>
                          <a:ext cx="6299835" cy="2626360"/>
                        </a:xfrm>
                        <a:prstGeom prst="roundRect">
                          <a:avLst>
                            <a:gd name="adj" fmla="val 3901"/>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40F25D6"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D8E45" id="Retângulo: Cantos Arredondados 53" o:spid="_x0000_s1039" style="position:absolute;left:0;text-align:left;margin-left:-6.85pt;margin-top:204.9pt;width:496.05pt;height:20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" fillcolor="#154b5d" stroked="f" strokeweight="1pt">
                <v:stroke joinstyle="miter"/>
                <v:textbox>
                  <w:txbxContent>
                    <w:p w14:paraId="740F25D6"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D6476E">
        <w:rPr>
          <w:noProof/>
        </w:rPr>
        <mc:AlternateContent>
          <mc:Choice Requires="wps">
            <w:drawing>
              <wp:anchor distT="0" distB="0" distL="114300" distR="114300" simplePos="0" relativeHeight="251700224" behindDoc="0" locked="0" layoutInCell="1" allowOverlap="1" wp14:anchorId="2051765F" wp14:editId="47563806">
                <wp:simplePos x="0" y="0"/>
                <wp:positionH relativeFrom="column">
                  <wp:posOffset>-54610</wp:posOffset>
                </wp:positionH>
                <wp:positionV relativeFrom="paragraph">
                  <wp:posOffset>136525</wp:posOffset>
                </wp:positionV>
                <wp:extent cx="6301105" cy="2148840"/>
                <wp:effectExtent l="0" t="0" r="4445" b="3810"/>
                <wp:wrapNone/>
                <wp:docPr id="31" name="Retângulo: Cantos Arredondados 31"/>
                <wp:cNvGraphicFramePr/>
                <a:graphic xmlns:a="http://schemas.openxmlformats.org/drawingml/2006/main">
                  <a:graphicData uri="http://schemas.microsoft.com/office/word/2010/wordprocessingShape">
                    <wps:wsp>
                      <wps:cNvSpPr/>
                      <wps:spPr>
                        <a:xfrm>
                          <a:off x="0" y="0"/>
                          <a:ext cx="6301105" cy="2148840"/>
                        </a:xfrm>
                        <a:prstGeom prst="roundRect">
                          <a:avLst>
                            <a:gd name="adj" fmla="val 6945"/>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BDAAEF3" w14:textId="77777777" w:rsidR="00D6476E" w:rsidRPr="000F5532" w:rsidRDefault="00D6476E" w:rsidP="00D6476E">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1765F" id="Retângulo: Cantos Arredondados 31" o:spid="_x0000_s1040" style="position:absolute;left:0;text-align:left;margin-left:-4.3pt;margin-top:10.75pt;width:496.15pt;height:16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" fillcolor="#154b5d" stroked="f" strokeweight="1pt">
                <v:stroke joinstyle="miter"/>
                <v:textbox>
                  <w:txbxContent>
                    <w:p w14:paraId="3BDAAEF3" w14:textId="77777777" w:rsidR="00D6476E" w:rsidRPr="000F5532" w:rsidRDefault="00D6476E" w:rsidP="00D6476E">
                      <w:pPr>
                        <w:pStyle w:val="PargrafodaLista"/>
                        <w:ind w:left="2484"/>
                        <w:rPr>
                          <w:rFonts w:ascii="Ubuntu" w:hAnsi="Ubuntu"/>
                          <w:color w:val="FFFFFF" w:themeColor="background1"/>
                          <w:sz w:val="20"/>
                          <w:szCs w:val="20"/>
                        </w:rPr>
                      </w:pPr>
                    </w:p>
                  </w:txbxContent>
                </v:textbox>
              </v:roundrect>
            </w:pict>
          </mc:Fallback>
        </mc:AlternateContent>
      </w:r>
      <w:r w:rsidR="00D6476E">
        <w:rPr>
          <w:noProof/>
        </w:rPr>
        <mc:AlternateContent>
          <mc:Choice Requires="wps">
            <w:drawing>
              <wp:anchor distT="0" distB="0" distL="114300" distR="114300" simplePos="0" relativeHeight="251701248" behindDoc="0" locked="0" layoutInCell="1" allowOverlap="1" wp14:anchorId="01F0AFEE" wp14:editId="51B01DB6">
                <wp:simplePos x="0" y="0"/>
                <wp:positionH relativeFrom="column">
                  <wp:posOffset>61595</wp:posOffset>
                </wp:positionH>
                <wp:positionV relativeFrom="paragraph">
                  <wp:posOffset>252095</wp:posOffset>
                </wp:positionV>
                <wp:extent cx="6299835" cy="2159635"/>
                <wp:effectExtent l="19050" t="19050" r="24765" b="12065"/>
                <wp:wrapNone/>
                <wp:docPr id="32" name="Retângulo: Cantos Arredondados 32"/>
                <wp:cNvGraphicFramePr/>
                <a:graphic xmlns:a="http://schemas.openxmlformats.org/drawingml/2006/main">
                  <a:graphicData uri="http://schemas.microsoft.com/office/word/2010/wordprocessingShape">
                    <wps:wsp>
                      <wps:cNvSpPr/>
                      <wps:spPr>
                        <a:xfrm>
                          <a:off x="0" y="0"/>
                          <a:ext cx="6299835" cy="2159635"/>
                        </a:xfrm>
                        <a:prstGeom prst="roundRect">
                          <a:avLst>
                            <a:gd name="adj" fmla="val 6068"/>
                          </a:avLst>
                        </a:prstGeom>
                        <a:noFill/>
                        <a:ln w="28575">
                          <a:solidFill>
                            <a:srgbClr val="B987B4"/>
                          </a:solidFill>
                        </a:ln>
                      </wps:spPr>
                      <wps:style>
                        <a:lnRef idx="2">
                          <a:schemeClr val="dk1">
                            <a:shade val="50000"/>
                          </a:schemeClr>
                        </a:lnRef>
                        <a:fillRef idx="1">
                          <a:schemeClr val="dk1"/>
                        </a:fillRef>
                        <a:effectRef idx="0">
                          <a:schemeClr val="dk1"/>
                        </a:effectRef>
                        <a:fontRef idx="minor">
                          <a:schemeClr val="lt1"/>
                        </a:fontRef>
                      </wps:style>
                      <wps:txbx>
                        <w:txbxContent>
                          <w:p w14:paraId="50E19414" w14:textId="21C8F0F3" w:rsidR="00D6476E" w:rsidRDefault="00D6476E" w:rsidP="00D6476E">
                            <w:pPr>
                              <w:pStyle w:val="PargrafodaLista"/>
                              <w:numPr>
                                <w:ilvl w:val="0"/>
                                <w:numId w:val="36"/>
                              </w:numPr>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Este modelo não é aplicável para serviços e fornecimentos não contínuos ou contratados por escopo (art. 6º, XVII, da Lei nº 14.133, de 2021).</w:t>
                            </w:r>
                          </w:p>
                          <w:p w14:paraId="34D071A5" w14:textId="77777777" w:rsidR="00D6476E" w:rsidRPr="00D6476E" w:rsidRDefault="00D6476E" w:rsidP="00D6476E">
                            <w:pPr>
                              <w:pStyle w:val="PargrafodaLista"/>
                              <w:ind w:left="2127"/>
                              <w:rPr>
                                <w:rFonts w:ascii="Arial" w:eastAsia="Times New Roman" w:hAnsi="Arial" w:cs="Arial"/>
                                <w:color w:val="FFFFFF" w:themeColor="background1"/>
                                <w:sz w:val="20"/>
                                <w:szCs w:val="20"/>
                              </w:rPr>
                            </w:pPr>
                          </w:p>
                          <w:p w14:paraId="3D8CCF14" w14:textId="77777777" w:rsidR="00D6476E" w:rsidRPr="00D6476E" w:rsidRDefault="00D6476E" w:rsidP="000235F9">
                            <w:pPr>
                              <w:pStyle w:val="PargrafodaLista"/>
                              <w:numPr>
                                <w:ilvl w:val="0"/>
                                <w:numId w:val="36"/>
                              </w:numPr>
                              <w:ind w:left="2127"/>
                              <w:rPr>
                                <w:rFonts w:ascii="Ubuntu" w:hAnsi="Ubuntu"/>
                                <w:color w:val="FFFFFF" w:themeColor="background1"/>
                                <w:sz w:val="20"/>
                                <w:szCs w:val="20"/>
                              </w:rPr>
                            </w:pPr>
                            <w:r w:rsidRPr="00D6476E">
                              <w:rPr>
                                <w:rFonts w:ascii="Arial" w:eastAsia="Times New Roman" w:hAnsi="Arial" w:cs="Arial"/>
                                <w:color w:val="FFFFFF" w:themeColor="background1"/>
                                <w:sz w:val="20"/>
                                <w:szCs w:val="20"/>
                              </w:rPr>
                              <w:t>Não se aplica também para os casos de prorrogação de vigência cumulada com a pretensão de alteração contratual, nas hipóteses do art. 124 da Lei nº 14.133, de 2021.</w:t>
                            </w:r>
                          </w:p>
                          <w:p w14:paraId="5DF0FE64" w14:textId="77777777" w:rsidR="00D6476E" w:rsidRPr="00D6476E" w:rsidRDefault="00D6476E" w:rsidP="00D6476E">
                            <w:pPr>
                              <w:pStyle w:val="PargrafodaLista"/>
                              <w:rPr>
                                <w:rFonts w:ascii="Arial" w:eastAsia="Times New Roman" w:hAnsi="Arial" w:cs="Arial"/>
                                <w:color w:val="FFFFFF" w:themeColor="background1"/>
                                <w:sz w:val="20"/>
                                <w:szCs w:val="20"/>
                              </w:rPr>
                            </w:pPr>
                          </w:p>
                          <w:p w14:paraId="0E301718" w14:textId="22A8B74D" w:rsidR="00D6476E" w:rsidRPr="00D6476E" w:rsidRDefault="00D6476E" w:rsidP="000235F9">
                            <w:pPr>
                              <w:pStyle w:val="PargrafodaLista"/>
                              <w:numPr>
                                <w:ilvl w:val="0"/>
                                <w:numId w:val="36"/>
                              </w:numPr>
                              <w:ind w:left="2127"/>
                              <w:rPr>
                                <w:rFonts w:ascii="Ubuntu" w:hAnsi="Ubuntu"/>
                                <w:color w:val="FFFFFF" w:themeColor="background1"/>
                                <w:sz w:val="20"/>
                                <w:szCs w:val="20"/>
                              </w:rPr>
                            </w:pPr>
                            <w:r w:rsidRPr="00D6476E">
                              <w:rPr>
                                <w:rFonts w:ascii="Arial" w:eastAsia="Times New Roman" w:hAnsi="Arial" w:cs="Arial"/>
                                <w:color w:val="FFFFFF" w:themeColor="background1"/>
                                <w:sz w:val="20"/>
                                <w:szCs w:val="20"/>
                              </w:rPr>
                              <w:t>Processos instruídos com fundamento na Lei n.º 8.666, de 1993, Lei n.º 10.520, de 2002 e Lei n. 12.462, de 2011, nos termos do art. 191 da Lei n.º 14.133, de 2021, e item 217 do PARECER n. 00002/2021/CNMLC/CGU/AGU, NUP: 00688.000716/2019-43, sequencial 460).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0AFEE" id="Retângulo: Cantos Arredondados 32" o:spid="_x0000_s1041" style="position:absolute;left:0;text-align:left;margin-left:4.85pt;margin-top:19.85pt;width:496.05pt;height:17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" filled="f" strokecolor="#b987b4" strokeweight="2.25pt">
                <v:stroke joinstyle="miter"/>
                <v:textbox>
                  <w:txbxContent>
                    <w:p w14:paraId="50E19414" w14:textId="21C8F0F3" w:rsidR="00D6476E" w:rsidRDefault="00D6476E" w:rsidP="00D6476E">
                      <w:pPr>
                        <w:pStyle w:val="PargrafodaLista"/>
                        <w:numPr>
                          <w:ilvl w:val="0"/>
                          <w:numId w:val="36"/>
                        </w:numPr>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Este modelo não é aplicável para serviços e fornecimentos não contínuos ou contratados por escopo (art. 6º, XVII, da Lei nº 14.133, de 2021).</w:t>
                      </w:r>
                    </w:p>
                    <w:p w14:paraId="34D071A5" w14:textId="77777777" w:rsidR="00D6476E" w:rsidRPr="00D6476E" w:rsidRDefault="00D6476E" w:rsidP="00D6476E">
                      <w:pPr>
                        <w:pStyle w:val="PargrafodaLista"/>
                        <w:ind w:left="2127"/>
                        <w:rPr>
                          <w:rFonts w:ascii="Arial" w:eastAsia="Times New Roman" w:hAnsi="Arial" w:cs="Arial"/>
                          <w:color w:val="FFFFFF" w:themeColor="background1"/>
                          <w:sz w:val="20"/>
                          <w:szCs w:val="20"/>
                        </w:rPr>
                      </w:pPr>
                    </w:p>
                    <w:p w14:paraId="3D8CCF14" w14:textId="77777777" w:rsidR="00D6476E" w:rsidRPr="00D6476E" w:rsidRDefault="00D6476E" w:rsidP="000235F9">
                      <w:pPr>
                        <w:pStyle w:val="PargrafodaLista"/>
                        <w:numPr>
                          <w:ilvl w:val="0"/>
                          <w:numId w:val="36"/>
                        </w:numPr>
                        <w:ind w:left="2127"/>
                        <w:rPr>
                          <w:rFonts w:ascii="Ubuntu" w:hAnsi="Ubuntu"/>
                          <w:color w:val="FFFFFF" w:themeColor="background1"/>
                          <w:sz w:val="20"/>
                          <w:szCs w:val="20"/>
                        </w:rPr>
                      </w:pPr>
                      <w:r w:rsidRPr="00D6476E">
                        <w:rPr>
                          <w:rFonts w:ascii="Arial" w:eastAsia="Times New Roman" w:hAnsi="Arial" w:cs="Arial"/>
                          <w:color w:val="FFFFFF" w:themeColor="background1"/>
                          <w:sz w:val="20"/>
                          <w:szCs w:val="20"/>
                        </w:rPr>
                        <w:t>Não se aplica também para os casos de prorrogação de vigência cumulada com a pretensão de alteração contratual, nas hipóteses do art. 124 da Lei nº 14.133, de 2021.</w:t>
                      </w:r>
                    </w:p>
                    <w:p w14:paraId="5DF0FE64" w14:textId="77777777" w:rsidR="00D6476E" w:rsidRPr="00D6476E" w:rsidRDefault="00D6476E" w:rsidP="00D6476E">
                      <w:pPr>
                        <w:pStyle w:val="PargrafodaLista"/>
                        <w:rPr>
                          <w:rFonts w:ascii="Arial" w:eastAsia="Times New Roman" w:hAnsi="Arial" w:cs="Arial"/>
                          <w:color w:val="FFFFFF" w:themeColor="background1"/>
                          <w:sz w:val="20"/>
                          <w:szCs w:val="20"/>
                        </w:rPr>
                      </w:pPr>
                    </w:p>
                    <w:p w14:paraId="0E301718" w14:textId="22A8B74D" w:rsidR="00D6476E" w:rsidRPr="00D6476E" w:rsidRDefault="00D6476E" w:rsidP="000235F9">
                      <w:pPr>
                        <w:pStyle w:val="PargrafodaLista"/>
                        <w:numPr>
                          <w:ilvl w:val="0"/>
                          <w:numId w:val="36"/>
                        </w:numPr>
                        <w:ind w:left="2127"/>
                        <w:rPr>
                          <w:rFonts w:ascii="Ubuntu" w:hAnsi="Ubuntu"/>
                          <w:color w:val="FFFFFF" w:themeColor="background1"/>
                          <w:sz w:val="20"/>
                          <w:szCs w:val="20"/>
                        </w:rPr>
                      </w:pPr>
                      <w:r w:rsidRPr="00D6476E">
                        <w:rPr>
                          <w:rFonts w:ascii="Arial" w:eastAsia="Times New Roman" w:hAnsi="Arial" w:cs="Arial"/>
                          <w:color w:val="FFFFFF" w:themeColor="background1"/>
                          <w:sz w:val="20"/>
                          <w:szCs w:val="20"/>
                        </w:rPr>
                        <w:t>Processos instruídos com fundamento na Lei n.º 8.666, de 1993, Lei n.º 10.520, de 2002 e Lei n. 12.462, de 2011, nos termos do art. 191 da Lei n.º 14.133, de 2021, e item 217 do PARECER n. 00002/2021/CNMLC/CGU/AGU, NUP: 00688.000716/2019-43, sequencial 460).</w:t>
                      </w:r>
                    </w:p>
                  </w:txbxContent>
                </v:textbox>
              </v:roundrect>
            </w:pict>
          </mc:Fallback>
        </mc:AlternateContent>
      </w:r>
      <w:r w:rsidR="00D6476E">
        <w:rPr>
          <w:noProof/>
        </w:rPr>
        <mc:AlternateContent>
          <mc:Choice Requires="wps">
            <w:drawing>
              <wp:anchor distT="0" distB="0" distL="114300" distR="114300" simplePos="0" relativeHeight="251702272" behindDoc="0" locked="0" layoutInCell="1" allowOverlap="1" wp14:anchorId="7274F095" wp14:editId="6C70BFA8">
                <wp:simplePos x="0" y="0"/>
                <wp:positionH relativeFrom="column">
                  <wp:posOffset>-228600</wp:posOffset>
                </wp:positionH>
                <wp:positionV relativeFrom="paragraph">
                  <wp:posOffset>9525</wp:posOffset>
                </wp:positionV>
                <wp:extent cx="1447800" cy="1571625"/>
                <wp:effectExtent l="0" t="0" r="0" b="9525"/>
                <wp:wrapNone/>
                <wp:docPr id="27" name="Retângulo: Cantos Arredondados 27"/>
                <wp:cNvGraphicFramePr/>
                <a:graphic xmlns:a="http://schemas.openxmlformats.org/drawingml/2006/main">
                  <a:graphicData uri="http://schemas.microsoft.com/office/word/2010/wordprocessingShape">
                    <wps:wsp>
                      <wps:cNvSpPr/>
                      <wps:spPr>
                        <a:xfrm>
                          <a:off x="0" y="0"/>
                          <a:ext cx="1447800" cy="1571625"/>
                        </a:xfrm>
                        <a:prstGeom prst="roundRect">
                          <a:avLst>
                            <a:gd name="adj" fmla="val 6799"/>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F2A146" w14:textId="77777777" w:rsidR="00D6476E" w:rsidRPr="00A06A28" w:rsidRDefault="00D6476E" w:rsidP="00D6476E">
                            <w:pPr>
                              <w:jc w:val="center"/>
                              <w:rPr>
                                <w:rFonts w:ascii="Ubuntu" w:hAnsi="Ubuntu"/>
                                <w:b/>
                                <w:bCs/>
                              </w:rPr>
                            </w:pPr>
                            <w:r w:rsidRPr="00106C29">
                              <w:rPr>
                                <w:rFonts w:ascii="Arial" w:hAnsi="Arial" w:cs="Arial"/>
                                <w:b/>
                                <w:bCs/>
                              </w:rPr>
                              <w:t>NÃO APLICÁVEL</w:t>
                            </w:r>
                            <w:r>
                              <w:rPr>
                                <w:rFonts w:ascii="Ubuntu" w:hAnsi="Ubuntu"/>
                                <w:b/>
                                <w:bCs/>
                                <w:noProof/>
                              </w:rPr>
                              <w:drawing>
                                <wp:inline distT="0" distB="0" distL="0" distR="0" wp14:anchorId="2821E50E" wp14:editId="375D0FC5">
                                  <wp:extent cx="866140" cy="1131285"/>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10909"/>
                                          <a:stretch/>
                                        </pic:blipFill>
                                        <pic:spPr bwMode="auto">
                                          <a:xfrm>
                                            <a:off x="0" y="0"/>
                                            <a:ext cx="868589" cy="113448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4F095" id="Retângulo: Cantos Arredondados 27" o:spid="_x0000_s1042" style="position:absolute;left:0;text-align:left;margin-left:-18pt;margin-top:.75pt;width:114pt;height:12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" fillcolor="#b987b4" stroked="f" strokeweight="1pt">
                <v:stroke joinstyle="miter"/>
                <v:textbox>
                  <w:txbxContent>
                    <w:p w14:paraId="65F2A146" w14:textId="77777777" w:rsidR="00D6476E" w:rsidRPr="00A06A28" w:rsidRDefault="00D6476E" w:rsidP="00D6476E">
                      <w:pPr>
                        <w:jc w:val="center"/>
                        <w:rPr>
                          <w:rFonts w:ascii="Ubuntu" w:hAnsi="Ubuntu"/>
                          <w:b/>
                          <w:bCs/>
                        </w:rPr>
                      </w:pPr>
                      <w:r w:rsidRPr="00106C29">
                        <w:rPr>
                          <w:rFonts w:ascii="Arial" w:hAnsi="Arial" w:cs="Arial"/>
                          <w:b/>
                          <w:bCs/>
                        </w:rPr>
                        <w:t>NÃO APLICÁVEL</w:t>
                      </w:r>
                      <w:r>
                        <w:rPr>
                          <w:rFonts w:ascii="Ubuntu" w:hAnsi="Ubuntu"/>
                          <w:b/>
                          <w:bCs/>
                          <w:noProof/>
                        </w:rPr>
                        <w:drawing>
                          <wp:inline distT="0" distB="0" distL="0" distR="0" wp14:anchorId="2821E50E" wp14:editId="375D0FC5">
                            <wp:extent cx="866140" cy="1131285"/>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10909"/>
                                    <a:stretch/>
                                  </pic:blipFill>
                                  <pic:spPr bwMode="auto">
                                    <a:xfrm>
                                      <a:off x="0" y="0"/>
                                      <a:ext cx="868589" cy="113448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D6476E" w:rsidRPr="005A50EF">
        <w:rPr>
          <w:noProof/>
          <w:color w:val="FFFFFF" w:themeColor="background1"/>
        </w:rPr>
        <mc:AlternateContent>
          <mc:Choice Requires="wps">
            <w:drawing>
              <wp:anchor distT="0" distB="0" distL="114300" distR="114300" simplePos="0" relativeHeight="251680768" behindDoc="0" locked="0" layoutInCell="1" allowOverlap="1" wp14:anchorId="76D78957" wp14:editId="3C75897E">
                <wp:simplePos x="0" y="0"/>
                <wp:positionH relativeFrom="column">
                  <wp:posOffset>-95250</wp:posOffset>
                </wp:positionH>
                <wp:positionV relativeFrom="paragraph">
                  <wp:posOffset>5548630</wp:posOffset>
                </wp:positionV>
                <wp:extent cx="6299835" cy="1847850"/>
                <wp:effectExtent l="0" t="0" r="5715" b="0"/>
                <wp:wrapNone/>
                <wp:docPr id="73" name="Retângulo: Cantos Arredondados 73"/>
                <wp:cNvGraphicFramePr/>
                <a:graphic xmlns:a="http://schemas.openxmlformats.org/drawingml/2006/main">
                  <a:graphicData uri="http://schemas.microsoft.com/office/word/2010/wordprocessingShape">
                    <wps:wsp>
                      <wps:cNvSpPr/>
                      <wps:spPr>
                        <a:xfrm>
                          <a:off x="0" y="0"/>
                          <a:ext cx="6299835" cy="1847850"/>
                        </a:xfrm>
                        <a:prstGeom prst="roundRect">
                          <a:avLst>
                            <a:gd name="adj" fmla="val 6746"/>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DACD966"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78957" id="Retângulo: Cantos Arredondados 73" o:spid="_x0000_s1043" style="position:absolute;left:0;text-align:left;margin-left:-7.5pt;margin-top:436.9pt;width:496.05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" fillcolor="#154b5d" stroked="f" strokeweight="1pt">
                <v:stroke joinstyle="miter"/>
                <v:textbox>
                  <w:txbxContent>
                    <w:p w14:paraId="0DACD966"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D6476E" w:rsidRPr="005A50EF">
        <w:rPr>
          <w:noProof/>
          <w:color w:val="FFFFFF" w:themeColor="background1"/>
        </w:rPr>
        <mc:AlternateContent>
          <mc:Choice Requires="wps">
            <w:drawing>
              <wp:anchor distT="0" distB="0" distL="114300" distR="114300" simplePos="0" relativeHeight="251681792" behindDoc="0" locked="0" layoutInCell="1" allowOverlap="1" wp14:anchorId="713BCD74" wp14:editId="04286B30">
                <wp:simplePos x="0" y="0"/>
                <wp:positionH relativeFrom="margin">
                  <wp:posOffset>19050</wp:posOffset>
                </wp:positionH>
                <wp:positionV relativeFrom="paragraph">
                  <wp:posOffset>5643880</wp:posOffset>
                </wp:positionV>
                <wp:extent cx="6299835" cy="1847850"/>
                <wp:effectExtent l="19050" t="19050" r="24765" b="19050"/>
                <wp:wrapNone/>
                <wp:docPr id="74" name="Retângulo: Cantos Arredondados 74"/>
                <wp:cNvGraphicFramePr/>
                <a:graphic xmlns:a="http://schemas.openxmlformats.org/drawingml/2006/main">
                  <a:graphicData uri="http://schemas.microsoft.com/office/word/2010/wordprocessingShape">
                    <wps:wsp>
                      <wps:cNvSpPr/>
                      <wps:spPr>
                        <a:xfrm>
                          <a:off x="0" y="0"/>
                          <a:ext cx="6299835" cy="1847850"/>
                        </a:xfrm>
                        <a:prstGeom prst="roundRect">
                          <a:avLst>
                            <a:gd name="adj" fmla="val 4985"/>
                          </a:avLst>
                        </a:prstGeom>
                        <a:noFill/>
                        <a:ln w="28575">
                          <a:solidFill>
                            <a:srgbClr val="B987B4"/>
                          </a:solidFill>
                        </a:ln>
                      </wps:spPr>
                      <wps:style>
                        <a:lnRef idx="2">
                          <a:schemeClr val="dk1">
                            <a:shade val="50000"/>
                          </a:schemeClr>
                        </a:lnRef>
                        <a:fillRef idx="1">
                          <a:schemeClr val="dk1"/>
                        </a:fillRef>
                        <a:effectRef idx="0">
                          <a:schemeClr val="dk1"/>
                        </a:effectRef>
                        <a:fontRef idx="minor">
                          <a:schemeClr val="lt1"/>
                        </a:fontRef>
                      </wps:style>
                      <wps:txbx>
                        <w:txbxContent>
                          <w:p w14:paraId="0D1251FF" w14:textId="77777777" w:rsidR="00D6476E" w:rsidRDefault="00D6476E" w:rsidP="00D6476E">
                            <w:pPr>
                              <w:pStyle w:val="PargrafodaLista"/>
                              <w:numPr>
                                <w:ilvl w:val="3"/>
                                <w:numId w:val="34"/>
                              </w:numPr>
                              <w:spacing w:line="276" w:lineRule="auto"/>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Para facilitar a utilização do modelo, os parágrafos desse parecer parametrizado não foram numerados. No entanto, recomenda-se a numeração para viabilizar a indicação dos itens a serem observados.</w:t>
                            </w:r>
                          </w:p>
                          <w:p w14:paraId="46AB207A" w14:textId="77777777" w:rsidR="00D6476E" w:rsidRDefault="00D6476E" w:rsidP="00D6476E">
                            <w:pPr>
                              <w:pStyle w:val="PargrafodaLista"/>
                              <w:spacing w:line="276" w:lineRule="auto"/>
                              <w:ind w:left="2127"/>
                              <w:rPr>
                                <w:rFonts w:ascii="Arial" w:eastAsia="Times New Roman" w:hAnsi="Arial" w:cs="Arial"/>
                                <w:color w:val="FFFFFF" w:themeColor="background1"/>
                                <w:sz w:val="20"/>
                                <w:szCs w:val="20"/>
                              </w:rPr>
                            </w:pPr>
                          </w:p>
                          <w:p w14:paraId="26680954" w14:textId="12E06C65" w:rsidR="00062F68" w:rsidRPr="00D6476E" w:rsidRDefault="00D6476E" w:rsidP="00D6476E">
                            <w:pPr>
                              <w:pStyle w:val="PargrafodaLista"/>
                              <w:numPr>
                                <w:ilvl w:val="3"/>
                                <w:numId w:val="34"/>
                              </w:numPr>
                              <w:spacing w:line="276" w:lineRule="auto"/>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 xml:space="preserve">O modelo está configurado de acordo com as normas da Portaria nº 1.399, de 2009, e seu anexo, do Advogado-Geral da União. O Procurador Federal deve atentar, no desenvolvimento do parecer, para o cumprimento integral das orientações da Procuradoria-Geral Federal e da Advocacia-Geral da União pertinentes à matéria.  </w:t>
                            </w:r>
                          </w:p>
                          <w:p w14:paraId="003AA58D" w14:textId="77777777" w:rsidR="00062F68" w:rsidRPr="008D09FB" w:rsidRDefault="00062F68" w:rsidP="00062F68">
                            <w:pPr>
                              <w:pStyle w:val="PargrafodaLista"/>
                              <w:ind w:left="2136"/>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BCD74" id="Retângulo: Cantos Arredondados 74" o:spid="_x0000_s1044" style="position:absolute;left:0;text-align:left;margin-left:1.5pt;margin-top:444.4pt;width:496.05pt;height:14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" filled="f" strokecolor="#b987b4" strokeweight="2.25pt">
                <v:stroke joinstyle="miter"/>
                <v:textbox>
                  <w:txbxContent>
                    <w:p w14:paraId="0D1251FF" w14:textId="77777777" w:rsidR="00D6476E" w:rsidRDefault="00D6476E" w:rsidP="00D6476E">
                      <w:pPr>
                        <w:pStyle w:val="PargrafodaLista"/>
                        <w:numPr>
                          <w:ilvl w:val="3"/>
                          <w:numId w:val="34"/>
                        </w:numPr>
                        <w:spacing w:line="276" w:lineRule="auto"/>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Para facilitar a utilização do modelo, os parágrafos desse parecer parametrizado não foram numerados. No entanto, recomenda-se a numeração para viabilizar a indicação dos itens a serem observados.</w:t>
                      </w:r>
                    </w:p>
                    <w:p w14:paraId="46AB207A" w14:textId="77777777" w:rsidR="00D6476E" w:rsidRDefault="00D6476E" w:rsidP="00D6476E">
                      <w:pPr>
                        <w:pStyle w:val="PargrafodaLista"/>
                        <w:spacing w:line="276" w:lineRule="auto"/>
                        <w:ind w:left="2127"/>
                        <w:rPr>
                          <w:rFonts w:ascii="Arial" w:eastAsia="Times New Roman" w:hAnsi="Arial" w:cs="Arial"/>
                          <w:color w:val="FFFFFF" w:themeColor="background1"/>
                          <w:sz w:val="20"/>
                          <w:szCs w:val="20"/>
                        </w:rPr>
                      </w:pPr>
                    </w:p>
                    <w:p w14:paraId="26680954" w14:textId="12E06C65" w:rsidR="00062F68" w:rsidRPr="00D6476E" w:rsidRDefault="00D6476E" w:rsidP="00D6476E">
                      <w:pPr>
                        <w:pStyle w:val="PargrafodaLista"/>
                        <w:numPr>
                          <w:ilvl w:val="3"/>
                          <w:numId w:val="34"/>
                        </w:numPr>
                        <w:spacing w:line="276" w:lineRule="auto"/>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 xml:space="preserve">O modelo está configurado de acordo com as normas da Portaria nº 1.399, de 2009, e seu anexo, do Advogado-Geral da União. O Procurador Federal deve atentar, no desenvolvimento do parecer, para o cumprimento integral das orientações da Procuradoria-Geral Federal e da Advocacia-Geral da União pertinentes à matéria.  </w:t>
                      </w:r>
                    </w:p>
                    <w:p w14:paraId="003AA58D" w14:textId="77777777" w:rsidR="00062F68" w:rsidRPr="008D09FB" w:rsidRDefault="00062F68" w:rsidP="00062F68">
                      <w:pPr>
                        <w:pStyle w:val="PargrafodaLista"/>
                        <w:ind w:left="2136"/>
                        <w:rPr>
                          <w:rFonts w:ascii="Ubuntu" w:hAnsi="Ubuntu"/>
                          <w:color w:val="FFFFFF" w:themeColor="background1"/>
                          <w:sz w:val="20"/>
                          <w:szCs w:val="20"/>
                        </w:rPr>
                      </w:pPr>
                    </w:p>
                  </w:txbxContent>
                </v:textbox>
                <w10:wrap anchorx="margin"/>
              </v:roundrect>
            </w:pict>
          </mc:Fallback>
        </mc:AlternateContent>
      </w:r>
      <w:r w:rsidR="00D6476E" w:rsidRPr="005A50EF">
        <w:rPr>
          <w:noProof/>
          <w:color w:val="FFFFFF" w:themeColor="background1"/>
        </w:rPr>
        <mc:AlternateContent>
          <mc:Choice Requires="wps">
            <w:drawing>
              <wp:anchor distT="0" distB="0" distL="114300" distR="114300" simplePos="0" relativeHeight="251682816" behindDoc="0" locked="0" layoutInCell="1" allowOverlap="1" wp14:anchorId="1177D1FC" wp14:editId="1DA4BDB2">
                <wp:simplePos x="0" y="0"/>
                <wp:positionH relativeFrom="column">
                  <wp:posOffset>-288925</wp:posOffset>
                </wp:positionH>
                <wp:positionV relativeFrom="paragraph">
                  <wp:posOffset>5438775</wp:posOffset>
                </wp:positionV>
                <wp:extent cx="1447800" cy="1543050"/>
                <wp:effectExtent l="0" t="0" r="0" b="0"/>
                <wp:wrapNone/>
                <wp:docPr id="75" name="Retângulo: Cantos Arredondados 75"/>
                <wp:cNvGraphicFramePr/>
                <a:graphic xmlns:a="http://schemas.openxmlformats.org/drawingml/2006/main">
                  <a:graphicData uri="http://schemas.microsoft.com/office/word/2010/wordprocessingShape">
                    <wps:wsp>
                      <wps:cNvSpPr/>
                      <wps:spPr>
                        <a:xfrm>
                          <a:off x="0" y="0"/>
                          <a:ext cx="1447800" cy="1543050"/>
                        </a:xfrm>
                        <a:prstGeom prst="roundRect">
                          <a:avLst>
                            <a:gd name="adj" fmla="val 6799"/>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F645B" w14:textId="77777777" w:rsidR="00062F68" w:rsidRPr="00A06A28" w:rsidRDefault="00062F68" w:rsidP="00062F68">
                            <w:pPr>
                              <w:jc w:val="center"/>
                              <w:rPr>
                                <w:rFonts w:ascii="Ubuntu" w:hAnsi="Ubuntu"/>
                                <w:b/>
                                <w:bCs/>
                              </w:rPr>
                            </w:pPr>
                            <w:r w:rsidRPr="00106C29">
                              <w:rPr>
                                <w:rFonts w:ascii="Arial" w:hAnsi="Arial" w:cs="Arial"/>
                                <w:b/>
                                <w:bCs/>
                              </w:rPr>
                              <w:t>ATENÇÃO</w:t>
                            </w:r>
                            <w:r>
                              <w:rPr>
                                <w:rFonts w:ascii="Ubuntu" w:hAnsi="Ubuntu"/>
                                <w:b/>
                                <w:bCs/>
                                <w:noProof/>
                              </w:rPr>
                              <w:drawing>
                                <wp:inline distT="0" distB="0" distL="0" distR="0" wp14:anchorId="0D5E23C7" wp14:editId="6F8F496E">
                                  <wp:extent cx="1040676" cy="1209675"/>
                                  <wp:effectExtent l="0" t="0" r="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2126" cy="121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7D1FC" id="Retângulo: Cantos Arredondados 75" o:spid="_x0000_s1045" style="position:absolute;left:0;text-align:left;margin-left:-22.75pt;margin-top:428.25pt;width:114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" fillcolor="#b987b4" stroked="f" strokeweight="1pt">
                <v:stroke joinstyle="miter"/>
                <v:textbox>
                  <w:txbxContent>
                    <w:p w14:paraId="127F645B" w14:textId="77777777" w:rsidR="00062F68" w:rsidRPr="00A06A28" w:rsidRDefault="00062F68" w:rsidP="00062F68">
                      <w:pPr>
                        <w:jc w:val="center"/>
                        <w:rPr>
                          <w:rFonts w:ascii="Ubuntu" w:hAnsi="Ubuntu"/>
                          <w:b/>
                          <w:bCs/>
                        </w:rPr>
                      </w:pPr>
                      <w:r w:rsidRPr="00106C29">
                        <w:rPr>
                          <w:rFonts w:ascii="Arial" w:hAnsi="Arial" w:cs="Arial"/>
                          <w:b/>
                          <w:bCs/>
                        </w:rPr>
                        <w:t>ATENÇÃO</w:t>
                      </w:r>
                      <w:r>
                        <w:rPr>
                          <w:rFonts w:ascii="Ubuntu" w:hAnsi="Ubuntu"/>
                          <w:b/>
                          <w:bCs/>
                          <w:noProof/>
                        </w:rPr>
                        <w:drawing>
                          <wp:inline distT="0" distB="0" distL="0" distR="0" wp14:anchorId="0D5E23C7" wp14:editId="6F8F496E">
                            <wp:extent cx="1040676" cy="1209675"/>
                            <wp:effectExtent l="0" t="0" r="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2126" cy="1211360"/>
                                    </a:xfrm>
                                    <a:prstGeom prst="rect">
                                      <a:avLst/>
                                    </a:prstGeom>
                                    <a:noFill/>
                                    <a:ln>
                                      <a:noFill/>
                                    </a:ln>
                                  </pic:spPr>
                                </pic:pic>
                              </a:graphicData>
                            </a:graphic>
                          </wp:inline>
                        </w:drawing>
                      </w:r>
                    </w:p>
                  </w:txbxContent>
                </v:textbox>
              </v:roundrect>
            </w:pict>
          </mc:Fallback>
        </mc:AlternateContent>
      </w:r>
      <w:r w:rsidR="00D6476E">
        <w:rPr>
          <w:noProof/>
          <w:color w:val="FFFFFF" w:themeColor="background1"/>
        </w:rPr>
        <mc:AlternateContent>
          <mc:Choice Requires="wps">
            <w:drawing>
              <wp:anchor distT="0" distB="0" distL="114300" distR="114300" simplePos="0" relativeHeight="251679744" behindDoc="0" locked="0" layoutInCell="1" allowOverlap="1" wp14:anchorId="0FC939E5" wp14:editId="540E246A">
                <wp:simplePos x="0" y="0"/>
                <wp:positionH relativeFrom="column">
                  <wp:posOffset>3098165</wp:posOffset>
                </wp:positionH>
                <wp:positionV relativeFrom="paragraph">
                  <wp:posOffset>2898140</wp:posOffset>
                </wp:positionV>
                <wp:extent cx="3105150" cy="2009775"/>
                <wp:effectExtent l="0" t="0" r="0" b="0"/>
                <wp:wrapNone/>
                <wp:docPr id="72" name="Caixa de Texto 72"/>
                <wp:cNvGraphicFramePr/>
                <a:graphic xmlns:a="http://schemas.openxmlformats.org/drawingml/2006/main">
                  <a:graphicData uri="http://schemas.microsoft.com/office/word/2010/wordprocessingShape">
                    <wps:wsp>
                      <wps:cNvSpPr txBox="1"/>
                      <wps:spPr>
                        <a:xfrm>
                          <a:off x="0" y="0"/>
                          <a:ext cx="3105150" cy="2009775"/>
                        </a:xfrm>
                        <a:prstGeom prst="rect">
                          <a:avLst/>
                        </a:prstGeom>
                        <a:noFill/>
                        <a:ln w="6350">
                          <a:noFill/>
                        </a:ln>
                      </wps:spPr>
                      <wps:txbx>
                        <w:txbxContent>
                          <w:p w14:paraId="5A811C49" w14:textId="77777777" w:rsidR="00062F68" w:rsidRPr="00106C29" w:rsidRDefault="00062F68" w:rsidP="00062F68">
                            <w:pPr>
                              <w:spacing w:line="480" w:lineRule="auto"/>
                              <w:rPr>
                                <w:rFonts w:ascii="Arial" w:hAnsi="Arial" w:cs="Arial"/>
                                <w:color w:val="FFFFFF" w:themeColor="background1"/>
                                <w:sz w:val="18"/>
                                <w:szCs w:val="18"/>
                              </w:rPr>
                            </w:pPr>
                            <w:r w:rsidRPr="00106C29">
                              <w:rPr>
                                <w:rFonts w:ascii="Arial" w:hAnsi="Arial" w:cs="Arial"/>
                                <w:color w:val="FFFFFF" w:themeColor="background1"/>
                                <w:sz w:val="18"/>
                                <w:szCs w:val="18"/>
                              </w:rPr>
                              <w:t>Deverão ser excluídas.</w:t>
                            </w:r>
                          </w:p>
                          <w:p w14:paraId="2626FAB5" w14:textId="77777777" w:rsidR="00062F68" w:rsidRPr="00106C29" w:rsidRDefault="00062F68" w:rsidP="00062F68">
                            <w:pPr>
                              <w:spacing w:line="360" w:lineRule="auto"/>
                              <w:rPr>
                                <w:rFonts w:ascii="Arial" w:hAnsi="Arial" w:cs="Arial"/>
                                <w:color w:val="FFFFFF" w:themeColor="background1"/>
                                <w:sz w:val="18"/>
                                <w:szCs w:val="18"/>
                              </w:rPr>
                            </w:pPr>
                            <w:r w:rsidRPr="00106C29">
                              <w:rPr>
                                <w:rFonts w:ascii="Arial" w:hAnsi="Arial" w:cs="Arial"/>
                                <w:color w:val="FFFFFF" w:themeColor="background1"/>
                                <w:sz w:val="18"/>
                                <w:szCs w:val="18"/>
                              </w:rPr>
                              <w:t>Texto sugerido para a estrutura do parecer.</w:t>
                            </w:r>
                          </w:p>
                          <w:p w14:paraId="24E5E4C5" w14:textId="3D24B6BA" w:rsidR="00062F68" w:rsidRPr="00106C29" w:rsidRDefault="00062F68" w:rsidP="00062F68">
                            <w:pPr>
                              <w:spacing w:line="240" w:lineRule="auto"/>
                              <w:rPr>
                                <w:rFonts w:ascii="Arial" w:hAnsi="Arial" w:cs="Arial"/>
                                <w:color w:val="FFFFFF" w:themeColor="background1"/>
                                <w:sz w:val="18"/>
                                <w:szCs w:val="18"/>
                              </w:rPr>
                            </w:pPr>
                            <w:r w:rsidRPr="00106C29">
                              <w:rPr>
                                <w:rFonts w:ascii="Arial" w:hAnsi="Arial" w:cs="Arial"/>
                                <w:color w:val="FFFFFF" w:themeColor="background1"/>
                                <w:sz w:val="18"/>
                                <w:szCs w:val="18"/>
                              </w:rPr>
                              <w:t>Estrutura para a avaliação e adaptação pelo Procurador, diante das peculiaridades do caso concreto.</w:t>
                            </w:r>
                          </w:p>
                          <w:p w14:paraId="22861729" w14:textId="1D9ED1B2" w:rsidR="00062F68" w:rsidRPr="00106C29" w:rsidRDefault="00062F68" w:rsidP="00062F68">
                            <w:pPr>
                              <w:spacing w:line="240" w:lineRule="auto"/>
                              <w:rPr>
                                <w:rFonts w:ascii="Arial" w:hAnsi="Arial" w:cs="Arial"/>
                                <w:color w:val="FFFFFF" w:themeColor="background1"/>
                                <w:sz w:val="18"/>
                                <w:szCs w:val="18"/>
                              </w:rPr>
                            </w:pPr>
                            <w:r w:rsidRPr="00106C29">
                              <w:rPr>
                                <w:rFonts w:ascii="Arial" w:hAnsi="Arial" w:cs="Arial"/>
                                <w:color w:val="FFFFFF" w:themeColor="background1"/>
                                <w:sz w:val="18"/>
                                <w:szCs w:val="18"/>
                              </w:rPr>
                              <w:t>Indica existência de opções alternativas a serem adotadas pelo parecerista quando da análise do</w:t>
                            </w:r>
                            <w:r w:rsidRPr="00106C29">
                              <w:rPr>
                                <w:rFonts w:ascii="Arial" w:hAnsi="Arial" w:cs="Arial"/>
                                <w:color w:val="FFFFFF" w:themeColor="background1"/>
                                <w:sz w:val="18"/>
                                <w:szCs w:val="18"/>
                              </w:rPr>
                              <w:br/>
                              <w:t xml:space="preserve">caso concreto. As opções são excludentes, </w:t>
                            </w:r>
                            <w:r w:rsidR="00FF2F9F">
                              <w:rPr>
                                <w:rFonts w:ascii="Arial" w:hAnsi="Arial" w:cs="Arial"/>
                                <w:color w:val="FFFFFF" w:themeColor="background1"/>
                                <w:sz w:val="18"/>
                                <w:szCs w:val="18"/>
                              </w:rPr>
                              <w:br/>
                            </w:r>
                            <w:r w:rsidRPr="00106C29">
                              <w:rPr>
                                <w:rFonts w:ascii="Arial" w:hAnsi="Arial" w:cs="Arial"/>
                                <w:color w:val="FFFFFF" w:themeColor="background1"/>
                                <w:sz w:val="18"/>
                                <w:szCs w:val="18"/>
                              </w:rPr>
                              <w:t>competindo ao Procurador Federal oficiante excluir aquela(s) não contemplada(s).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939E5" id="Caixa de Texto 72" o:spid="_x0000_s1046" type="#_x0000_t202" style="position:absolute;left:0;text-align:left;margin-left:243.95pt;margin-top:228.2pt;width:244.5pt;height:15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" filled="f" stroked="f" strokeweight=".5pt">
                <v:textbox>
                  <w:txbxContent>
                    <w:p w14:paraId="5A811C49" w14:textId="77777777" w:rsidR="00062F68" w:rsidRPr="00106C29" w:rsidRDefault="00062F68" w:rsidP="00062F68">
                      <w:pPr>
                        <w:spacing w:line="480" w:lineRule="auto"/>
                        <w:rPr>
                          <w:rFonts w:ascii="Arial" w:hAnsi="Arial" w:cs="Arial"/>
                          <w:color w:val="FFFFFF" w:themeColor="background1"/>
                          <w:sz w:val="18"/>
                          <w:szCs w:val="18"/>
                        </w:rPr>
                      </w:pPr>
                      <w:r w:rsidRPr="00106C29">
                        <w:rPr>
                          <w:rFonts w:ascii="Arial" w:hAnsi="Arial" w:cs="Arial"/>
                          <w:color w:val="FFFFFF" w:themeColor="background1"/>
                          <w:sz w:val="18"/>
                          <w:szCs w:val="18"/>
                        </w:rPr>
                        <w:t>Deverão ser excluídas.</w:t>
                      </w:r>
                    </w:p>
                    <w:p w14:paraId="2626FAB5" w14:textId="77777777" w:rsidR="00062F68" w:rsidRPr="00106C29" w:rsidRDefault="00062F68" w:rsidP="00062F68">
                      <w:pPr>
                        <w:spacing w:line="360" w:lineRule="auto"/>
                        <w:rPr>
                          <w:rFonts w:ascii="Arial" w:hAnsi="Arial" w:cs="Arial"/>
                          <w:color w:val="FFFFFF" w:themeColor="background1"/>
                          <w:sz w:val="18"/>
                          <w:szCs w:val="18"/>
                        </w:rPr>
                      </w:pPr>
                      <w:r w:rsidRPr="00106C29">
                        <w:rPr>
                          <w:rFonts w:ascii="Arial" w:hAnsi="Arial" w:cs="Arial"/>
                          <w:color w:val="FFFFFF" w:themeColor="background1"/>
                          <w:sz w:val="18"/>
                          <w:szCs w:val="18"/>
                        </w:rPr>
                        <w:t>Texto sugerido para a estrutura do parecer.</w:t>
                      </w:r>
                    </w:p>
                    <w:p w14:paraId="24E5E4C5" w14:textId="3D24B6BA" w:rsidR="00062F68" w:rsidRPr="00106C29" w:rsidRDefault="00062F68" w:rsidP="00062F68">
                      <w:pPr>
                        <w:spacing w:line="240" w:lineRule="auto"/>
                        <w:rPr>
                          <w:rFonts w:ascii="Arial" w:hAnsi="Arial" w:cs="Arial"/>
                          <w:color w:val="FFFFFF" w:themeColor="background1"/>
                          <w:sz w:val="18"/>
                          <w:szCs w:val="18"/>
                        </w:rPr>
                      </w:pPr>
                      <w:r w:rsidRPr="00106C29">
                        <w:rPr>
                          <w:rFonts w:ascii="Arial" w:hAnsi="Arial" w:cs="Arial"/>
                          <w:color w:val="FFFFFF" w:themeColor="background1"/>
                          <w:sz w:val="18"/>
                          <w:szCs w:val="18"/>
                        </w:rPr>
                        <w:t>Estrutura para a avaliação e adaptação pelo Procurador, diante das peculiaridades do caso concreto.</w:t>
                      </w:r>
                    </w:p>
                    <w:p w14:paraId="22861729" w14:textId="1D9ED1B2" w:rsidR="00062F68" w:rsidRPr="00106C29" w:rsidRDefault="00062F68" w:rsidP="00062F68">
                      <w:pPr>
                        <w:spacing w:line="240" w:lineRule="auto"/>
                        <w:rPr>
                          <w:rFonts w:ascii="Arial" w:hAnsi="Arial" w:cs="Arial"/>
                          <w:color w:val="FFFFFF" w:themeColor="background1"/>
                          <w:sz w:val="18"/>
                          <w:szCs w:val="18"/>
                        </w:rPr>
                      </w:pPr>
                      <w:r w:rsidRPr="00106C29">
                        <w:rPr>
                          <w:rFonts w:ascii="Arial" w:hAnsi="Arial" w:cs="Arial"/>
                          <w:color w:val="FFFFFF" w:themeColor="background1"/>
                          <w:sz w:val="18"/>
                          <w:szCs w:val="18"/>
                        </w:rPr>
                        <w:t>Indica existência de opções alternativas a serem adotadas pelo parecerista quando da análise do</w:t>
                      </w:r>
                      <w:r w:rsidRPr="00106C29">
                        <w:rPr>
                          <w:rFonts w:ascii="Arial" w:hAnsi="Arial" w:cs="Arial"/>
                          <w:color w:val="FFFFFF" w:themeColor="background1"/>
                          <w:sz w:val="18"/>
                          <w:szCs w:val="18"/>
                        </w:rPr>
                        <w:br/>
                        <w:t xml:space="preserve">caso concreto. As opções são excludentes, </w:t>
                      </w:r>
                      <w:r w:rsidR="00FF2F9F">
                        <w:rPr>
                          <w:rFonts w:ascii="Arial" w:hAnsi="Arial" w:cs="Arial"/>
                          <w:color w:val="FFFFFF" w:themeColor="background1"/>
                          <w:sz w:val="18"/>
                          <w:szCs w:val="18"/>
                        </w:rPr>
                        <w:br/>
                      </w:r>
                      <w:r w:rsidRPr="00106C29">
                        <w:rPr>
                          <w:rFonts w:ascii="Arial" w:hAnsi="Arial" w:cs="Arial"/>
                          <w:color w:val="FFFFFF" w:themeColor="background1"/>
                          <w:sz w:val="18"/>
                          <w:szCs w:val="18"/>
                        </w:rPr>
                        <w:t>competindo ao Procurador Federal oficiante excluir aquela(s) não contemplada(s).</w:t>
                      </w:r>
                    </w:p>
                  </w:txbxContent>
                </v:textbox>
              </v:shape>
            </w:pict>
          </mc:Fallback>
        </mc:AlternateContent>
      </w:r>
      <w:r w:rsidR="000E4B4C" w:rsidRPr="005A50EF">
        <w:rPr>
          <w:noProof/>
          <w:color w:val="FFFFFF" w:themeColor="background1"/>
        </w:rPr>
        <mc:AlternateContent>
          <mc:Choice Requires="wps">
            <w:drawing>
              <wp:anchor distT="0" distB="0" distL="114300" distR="114300" simplePos="0" relativeHeight="251685888" behindDoc="0" locked="0" layoutInCell="1" allowOverlap="1" wp14:anchorId="3E625548" wp14:editId="3D97CCAD">
                <wp:simplePos x="0" y="0"/>
                <wp:positionH relativeFrom="column">
                  <wp:posOffset>3525189</wp:posOffset>
                </wp:positionH>
                <wp:positionV relativeFrom="paragraph">
                  <wp:posOffset>7780020</wp:posOffset>
                </wp:positionV>
                <wp:extent cx="2673709" cy="899795"/>
                <wp:effectExtent l="19050" t="19050" r="12700" b="14605"/>
                <wp:wrapNone/>
                <wp:docPr id="87" name="Retângulo: Cantos Arredondados 87"/>
                <wp:cNvGraphicFramePr/>
                <a:graphic xmlns:a="http://schemas.openxmlformats.org/drawingml/2006/main">
                  <a:graphicData uri="http://schemas.microsoft.com/office/word/2010/wordprocessingShape">
                    <wps:wsp>
                      <wps:cNvSpPr/>
                      <wps:spPr>
                        <a:xfrm>
                          <a:off x="0" y="0"/>
                          <a:ext cx="2673709" cy="899795"/>
                        </a:xfrm>
                        <a:prstGeom prst="roundRect">
                          <a:avLst>
                            <a:gd name="adj" fmla="val 7817"/>
                          </a:avLst>
                        </a:prstGeom>
                        <a:noFill/>
                        <a:ln w="28575">
                          <a:solidFill>
                            <a:srgbClr val="154B5D"/>
                          </a:solidFill>
                        </a:ln>
                      </wps:spPr>
                      <wps:style>
                        <a:lnRef idx="2">
                          <a:schemeClr val="dk1">
                            <a:shade val="50000"/>
                          </a:schemeClr>
                        </a:lnRef>
                        <a:fillRef idx="1">
                          <a:schemeClr val="dk1"/>
                        </a:fillRef>
                        <a:effectRef idx="0">
                          <a:schemeClr val="dk1"/>
                        </a:effectRef>
                        <a:fontRef idx="minor">
                          <a:schemeClr val="lt1"/>
                        </a:fontRef>
                      </wps:style>
                      <wps:txbx>
                        <w:txbxContent>
                          <w:p w14:paraId="1BFA8899"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25548" id="Retângulo: Cantos Arredondados 87" o:spid="_x0000_s1047" style="position:absolute;left:0;text-align:left;margin-left:277.55pt;margin-top:612.6pt;width:210.55pt;height:7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" filled="f" strokecolor="#154b5d" strokeweight="2.25pt">
                <v:stroke joinstyle="miter"/>
                <v:textbox>
                  <w:txbxContent>
                    <w:p w14:paraId="1BFA8899"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0E4B4C" w:rsidRPr="005A50EF">
        <w:rPr>
          <w:noProof/>
          <w:color w:val="FFFFFF" w:themeColor="background1"/>
        </w:rPr>
        <mc:AlternateContent>
          <mc:Choice Requires="wps">
            <w:drawing>
              <wp:anchor distT="0" distB="0" distL="114300" distR="114300" simplePos="0" relativeHeight="251686912" behindDoc="0" locked="0" layoutInCell="1" allowOverlap="1" wp14:anchorId="6EAD9B2E" wp14:editId="0393DE58">
                <wp:simplePos x="0" y="0"/>
                <wp:positionH relativeFrom="column">
                  <wp:posOffset>27001</wp:posOffset>
                </wp:positionH>
                <wp:positionV relativeFrom="paragraph">
                  <wp:posOffset>7780130</wp:posOffset>
                </wp:positionV>
                <wp:extent cx="3228257" cy="898525"/>
                <wp:effectExtent l="19050" t="19050" r="10795" b="15875"/>
                <wp:wrapNone/>
                <wp:docPr id="89" name="Retângulo: Cantos Arredondados 89"/>
                <wp:cNvGraphicFramePr/>
                <a:graphic xmlns:a="http://schemas.openxmlformats.org/drawingml/2006/main">
                  <a:graphicData uri="http://schemas.microsoft.com/office/word/2010/wordprocessingShape">
                    <wps:wsp>
                      <wps:cNvSpPr/>
                      <wps:spPr>
                        <a:xfrm>
                          <a:off x="0" y="0"/>
                          <a:ext cx="3228257" cy="898525"/>
                        </a:xfrm>
                        <a:prstGeom prst="roundRect">
                          <a:avLst>
                            <a:gd name="adj" fmla="val 6048"/>
                          </a:avLst>
                        </a:prstGeom>
                        <a:noFill/>
                        <a:ln w="28575">
                          <a:solidFill>
                            <a:srgbClr val="154B5D"/>
                          </a:solidFill>
                        </a:ln>
                      </wps:spPr>
                      <wps:style>
                        <a:lnRef idx="2">
                          <a:schemeClr val="dk1">
                            <a:shade val="50000"/>
                          </a:schemeClr>
                        </a:lnRef>
                        <a:fillRef idx="1">
                          <a:schemeClr val="dk1"/>
                        </a:fillRef>
                        <a:effectRef idx="0">
                          <a:schemeClr val="dk1"/>
                        </a:effectRef>
                        <a:fontRef idx="minor">
                          <a:schemeClr val="lt1"/>
                        </a:fontRef>
                      </wps:style>
                      <wps:txbx>
                        <w:txbxContent>
                          <w:p w14:paraId="7013521B" w14:textId="5ABFFDAD" w:rsidR="00062F68" w:rsidRPr="008C6FAA" w:rsidRDefault="00062F68" w:rsidP="00062F68">
                            <w:pPr>
                              <w:jc w:val="both"/>
                              <w:rPr>
                                <w:rFonts w:ascii="Ubuntu" w:hAnsi="Ubuntu"/>
                                <w:color w:val="FFFFFF" w:themeColor="background1"/>
                                <w:sz w:val="20"/>
                                <w:szCs w:val="20"/>
                              </w:rPr>
                            </w:pPr>
                            <w:r w:rsidRPr="008C6FAA">
                              <w:rPr>
                                <w:rFonts w:ascii="Times New Roman" w:eastAsia="Times New Roman" w:hAnsi="Times New Roman" w:cs="Times New Roman"/>
                                <w:color w:val="000000" w:themeColor="text1"/>
                                <w:sz w:val="24"/>
                                <w:szCs w:val="24"/>
                              </w:rPr>
                              <w:t xml:space="preserve"> </w:t>
                            </w:r>
                            <w:r w:rsidR="00BF4409" w:rsidRPr="00B4766E">
                              <w:rPr>
                                <w:noProof/>
                              </w:rPr>
                              <w:drawing>
                                <wp:inline distT="0" distB="0" distL="0" distR="0" wp14:anchorId="1273AE7E" wp14:editId="265D12FB">
                                  <wp:extent cx="887802" cy="701070"/>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9032"/>
                                          <a:stretch/>
                                        </pic:blipFill>
                                        <pic:spPr bwMode="auto">
                                          <a:xfrm>
                                            <a:off x="0" y="0"/>
                                            <a:ext cx="894330" cy="7062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D9B2E" id="Retângulo: Cantos Arredondados 89" o:spid="_x0000_s1048" style="position:absolute;left:0;text-align:left;margin-left:2.15pt;margin-top:612.6pt;width:254.2pt;height:7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" filled="f" strokecolor="#154b5d" strokeweight="2.25pt">
                <v:stroke joinstyle="miter"/>
                <v:textbox>
                  <w:txbxContent>
                    <w:p w14:paraId="7013521B" w14:textId="5ABFFDAD" w:rsidR="00062F68" w:rsidRPr="008C6FAA" w:rsidRDefault="00062F68" w:rsidP="00062F68">
                      <w:pPr>
                        <w:jc w:val="both"/>
                        <w:rPr>
                          <w:rFonts w:ascii="Ubuntu" w:hAnsi="Ubuntu"/>
                          <w:color w:val="FFFFFF" w:themeColor="background1"/>
                          <w:sz w:val="20"/>
                          <w:szCs w:val="20"/>
                        </w:rPr>
                      </w:pPr>
                      <w:r w:rsidRPr="008C6FAA">
                        <w:rPr>
                          <w:rFonts w:ascii="Times New Roman" w:eastAsia="Times New Roman" w:hAnsi="Times New Roman" w:cs="Times New Roman"/>
                          <w:color w:val="000000" w:themeColor="text1"/>
                          <w:sz w:val="24"/>
                          <w:szCs w:val="24"/>
                        </w:rPr>
                        <w:t xml:space="preserve"> </w:t>
                      </w:r>
                      <w:r w:rsidR="00BF4409" w:rsidRPr="00B4766E">
                        <w:rPr>
                          <w:noProof/>
                        </w:rPr>
                        <w:drawing>
                          <wp:inline distT="0" distB="0" distL="0" distR="0" wp14:anchorId="1273AE7E" wp14:editId="265D12FB">
                            <wp:extent cx="887802" cy="701070"/>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9032"/>
                                    <a:stretch/>
                                  </pic:blipFill>
                                  <pic:spPr bwMode="auto">
                                    <a:xfrm>
                                      <a:off x="0" y="0"/>
                                      <a:ext cx="894330" cy="7062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3F20CB">
        <w:rPr>
          <w:noProof/>
          <w:color w:val="FFFFFF" w:themeColor="background1"/>
        </w:rPr>
        <mc:AlternateContent>
          <mc:Choice Requires="wps">
            <w:drawing>
              <wp:anchor distT="0" distB="0" distL="114300" distR="114300" simplePos="0" relativeHeight="251689984" behindDoc="0" locked="0" layoutInCell="1" allowOverlap="1" wp14:anchorId="3F81F833" wp14:editId="5AC5931C">
                <wp:simplePos x="0" y="0"/>
                <wp:positionH relativeFrom="column">
                  <wp:posOffset>3602990</wp:posOffset>
                </wp:positionH>
                <wp:positionV relativeFrom="paragraph">
                  <wp:posOffset>7904641</wp:posOffset>
                </wp:positionV>
                <wp:extent cx="1429385" cy="552734"/>
                <wp:effectExtent l="0" t="0" r="0" b="0"/>
                <wp:wrapNone/>
                <wp:docPr id="97" name="Caixa de Texto 97"/>
                <wp:cNvGraphicFramePr/>
                <a:graphic xmlns:a="http://schemas.openxmlformats.org/drawingml/2006/main">
                  <a:graphicData uri="http://schemas.microsoft.com/office/word/2010/wordprocessingShape">
                    <wps:wsp>
                      <wps:cNvSpPr txBox="1"/>
                      <wps:spPr>
                        <a:xfrm>
                          <a:off x="0" y="0"/>
                          <a:ext cx="1429385" cy="552734"/>
                        </a:xfrm>
                        <a:prstGeom prst="rect">
                          <a:avLst/>
                        </a:prstGeom>
                        <a:noFill/>
                        <a:ln w="6350">
                          <a:noFill/>
                        </a:ln>
                      </wps:spPr>
                      <wps:txbx>
                        <w:txbxContent>
                          <w:p w14:paraId="292AD15D" w14:textId="191B9063" w:rsidR="00062F68" w:rsidRPr="00106C29" w:rsidRDefault="00062F68" w:rsidP="00062F68">
                            <w:pPr>
                              <w:rPr>
                                <w:rFonts w:ascii="Arial" w:hAnsi="Arial" w:cs="Arial"/>
                                <w:color w:val="FFFFFF" w:themeColor="background1"/>
                                <w:sz w:val="20"/>
                                <w:szCs w:val="20"/>
                              </w:rPr>
                            </w:pPr>
                            <w:r w:rsidRPr="00106C29">
                              <w:rPr>
                                <w:rFonts w:ascii="Arial" w:hAnsi="Arial" w:cs="Arial"/>
                                <w:color w:val="FFFFFF" w:themeColor="background1"/>
                                <w:sz w:val="20"/>
                                <w:szCs w:val="20"/>
                              </w:rPr>
                              <w:t xml:space="preserve">Assista o vídeo sobre esse parecer pelo </w:t>
                            </w:r>
                            <w:r w:rsidR="00106C29">
                              <w:rPr>
                                <w:rFonts w:ascii="Arial" w:hAnsi="Arial" w:cs="Arial"/>
                                <w:color w:val="FFFFFF" w:themeColor="background1"/>
                                <w:sz w:val="20"/>
                                <w:szCs w:val="20"/>
                              </w:rPr>
                              <w:br/>
                            </w:r>
                            <w:proofErr w:type="spellStart"/>
                            <w:r w:rsidRPr="00106C29">
                              <w:rPr>
                                <w:rFonts w:ascii="Arial" w:hAnsi="Arial" w:cs="Arial"/>
                                <w:color w:val="FFFFFF" w:themeColor="background1"/>
                                <w:sz w:val="20"/>
                                <w:szCs w:val="20"/>
                              </w:rPr>
                              <w:t>Qr-Code</w:t>
                            </w:r>
                            <w:proofErr w:type="spellEnd"/>
                            <w:r w:rsidRPr="00106C29">
                              <w:rPr>
                                <w:rFonts w:ascii="Arial" w:hAnsi="Arial" w:cs="Arial"/>
                                <w:color w:val="FFFFFF" w:themeColor="background1"/>
                                <w:sz w:val="20"/>
                                <w:szCs w:val="20"/>
                              </w:rPr>
                              <w:t xml:space="preserve"> ao 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F833" id="Caixa de Texto 97" o:spid="_x0000_s1049" type="#_x0000_t202" style="position:absolute;left:0;text-align:left;margin-left:283.7pt;margin-top:622.4pt;width:112.5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" filled="f" stroked="f" strokeweight=".5pt">
                <v:textbox>
                  <w:txbxContent>
                    <w:p w14:paraId="292AD15D" w14:textId="191B9063" w:rsidR="00062F68" w:rsidRPr="00106C29" w:rsidRDefault="00062F68" w:rsidP="00062F68">
                      <w:pPr>
                        <w:rPr>
                          <w:rFonts w:ascii="Arial" w:hAnsi="Arial" w:cs="Arial"/>
                          <w:color w:val="FFFFFF" w:themeColor="background1"/>
                          <w:sz w:val="20"/>
                          <w:szCs w:val="20"/>
                        </w:rPr>
                      </w:pPr>
                      <w:r w:rsidRPr="00106C29">
                        <w:rPr>
                          <w:rFonts w:ascii="Arial" w:hAnsi="Arial" w:cs="Arial"/>
                          <w:color w:val="FFFFFF" w:themeColor="background1"/>
                          <w:sz w:val="20"/>
                          <w:szCs w:val="20"/>
                        </w:rPr>
                        <w:t xml:space="preserve">Assista o vídeo sobre esse parecer pelo </w:t>
                      </w:r>
                      <w:r w:rsidR="00106C29">
                        <w:rPr>
                          <w:rFonts w:ascii="Arial" w:hAnsi="Arial" w:cs="Arial"/>
                          <w:color w:val="FFFFFF" w:themeColor="background1"/>
                          <w:sz w:val="20"/>
                          <w:szCs w:val="20"/>
                        </w:rPr>
                        <w:br/>
                      </w:r>
                      <w:proofErr w:type="spellStart"/>
                      <w:r w:rsidRPr="00106C29">
                        <w:rPr>
                          <w:rFonts w:ascii="Arial" w:hAnsi="Arial" w:cs="Arial"/>
                          <w:color w:val="FFFFFF" w:themeColor="background1"/>
                          <w:sz w:val="20"/>
                          <w:szCs w:val="20"/>
                        </w:rPr>
                        <w:t>Qr-Code</w:t>
                      </w:r>
                      <w:proofErr w:type="spellEnd"/>
                      <w:r w:rsidRPr="00106C29">
                        <w:rPr>
                          <w:rFonts w:ascii="Arial" w:hAnsi="Arial" w:cs="Arial"/>
                          <w:color w:val="FFFFFF" w:themeColor="background1"/>
                          <w:sz w:val="20"/>
                          <w:szCs w:val="20"/>
                        </w:rPr>
                        <w:t xml:space="preserve"> ao lado</w:t>
                      </w:r>
                    </w:p>
                  </w:txbxContent>
                </v:textbox>
              </v:shape>
            </w:pict>
          </mc:Fallback>
        </mc:AlternateContent>
      </w:r>
      <w:r w:rsidR="003F20CB" w:rsidRPr="005A50EF">
        <w:rPr>
          <w:noProof/>
          <w:color w:val="FFFFFF" w:themeColor="background1"/>
        </w:rPr>
        <mc:AlternateContent>
          <mc:Choice Requires="wps">
            <w:drawing>
              <wp:anchor distT="0" distB="0" distL="114300" distR="114300" simplePos="0" relativeHeight="251684864" behindDoc="0" locked="0" layoutInCell="1" allowOverlap="1" wp14:anchorId="71339BDD" wp14:editId="68A97B67">
                <wp:simplePos x="0" y="0"/>
                <wp:positionH relativeFrom="column">
                  <wp:posOffset>3425190</wp:posOffset>
                </wp:positionH>
                <wp:positionV relativeFrom="paragraph">
                  <wp:posOffset>7713345</wp:posOffset>
                </wp:positionV>
                <wp:extent cx="2699385" cy="899795"/>
                <wp:effectExtent l="0" t="0" r="5715" b="0"/>
                <wp:wrapNone/>
                <wp:docPr id="85" name="Retângulo: Cantos Arredondados 85"/>
                <wp:cNvGraphicFramePr/>
                <a:graphic xmlns:a="http://schemas.openxmlformats.org/drawingml/2006/main">
                  <a:graphicData uri="http://schemas.microsoft.com/office/word/2010/wordprocessingShape">
                    <wps:wsp>
                      <wps:cNvSpPr/>
                      <wps:spPr>
                        <a:xfrm>
                          <a:off x="0" y="0"/>
                          <a:ext cx="2699385" cy="899795"/>
                        </a:xfrm>
                        <a:prstGeom prst="roundRect">
                          <a:avLst>
                            <a:gd name="adj" fmla="val 7018"/>
                          </a:avLst>
                        </a:prstGeom>
                        <a:solidFill>
                          <a:srgbClr val="B987B4"/>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9C0B691"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39BDD" id="Retângulo: Cantos Arredondados 85" o:spid="_x0000_s1050" style="position:absolute;left:0;text-align:left;margin-left:269.7pt;margin-top:607.35pt;width:212.55pt;height:7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" fillcolor="#b987b4" stroked="f" strokeweight="1pt">
                <v:stroke joinstyle="miter"/>
                <v:textbox>
                  <w:txbxContent>
                    <w:p w14:paraId="29C0B691"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3F20CB">
        <w:rPr>
          <w:noProof/>
          <w:color w:val="FFFFFF" w:themeColor="background1"/>
        </w:rPr>
        <mc:AlternateContent>
          <mc:Choice Requires="wps">
            <w:drawing>
              <wp:anchor distT="0" distB="0" distL="114300" distR="114300" simplePos="0" relativeHeight="251688960" behindDoc="0" locked="0" layoutInCell="1" allowOverlap="1" wp14:anchorId="57B76B0C" wp14:editId="6DB85851">
                <wp:simplePos x="0" y="0"/>
                <wp:positionH relativeFrom="column">
                  <wp:posOffset>1112402</wp:posOffset>
                </wp:positionH>
                <wp:positionV relativeFrom="paragraph">
                  <wp:posOffset>7889875</wp:posOffset>
                </wp:positionV>
                <wp:extent cx="1854835" cy="742950"/>
                <wp:effectExtent l="0" t="0" r="0" b="0"/>
                <wp:wrapNone/>
                <wp:docPr id="96" name="Caixa de Texto 96"/>
                <wp:cNvGraphicFramePr/>
                <a:graphic xmlns:a="http://schemas.openxmlformats.org/drawingml/2006/main">
                  <a:graphicData uri="http://schemas.microsoft.com/office/word/2010/wordprocessingShape">
                    <wps:wsp>
                      <wps:cNvSpPr txBox="1"/>
                      <wps:spPr>
                        <a:xfrm>
                          <a:off x="0" y="0"/>
                          <a:ext cx="1854835" cy="742950"/>
                        </a:xfrm>
                        <a:prstGeom prst="rect">
                          <a:avLst/>
                        </a:prstGeom>
                        <a:noFill/>
                        <a:ln w="6350">
                          <a:noFill/>
                        </a:ln>
                      </wps:spPr>
                      <wps:txbx>
                        <w:txbxContent>
                          <w:p w14:paraId="47DB1540" w14:textId="751CC1BE" w:rsidR="00062F68" w:rsidRPr="00106C29" w:rsidRDefault="00062F68" w:rsidP="00062F68">
                            <w:pPr>
                              <w:rPr>
                                <w:rFonts w:ascii="Arial" w:hAnsi="Arial" w:cs="Arial"/>
                                <w:color w:val="FFFFFF" w:themeColor="background1"/>
                                <w:sz w:val="20"/>
                                <w:szCs w:val="20"/>
                              </w:rPr>
                            </w:pPr>
                            <w:r w:rsidRPr="00106C29">
                              <w:rPr>
                                <w:rFonts w:ascii="Arial" w:eastAsia="Times New Roman" w:hAnsi="Arial" w:cs="Arial"/>
                                <w:color w:val="FFFFFF" w:themeColor="background1"/>
                                <w:sz w:val="20"/>
                                <w:szCs w:val="20"/>
                              </w:rPr>
                              <w:t xml:space="preserve">Atualização: </w:t>
                            </w:r>
                            <w:r w:rsidR="008051F5">
                              <w:rPr>
                                <w:rFonts w:ascii="Arial" w:eastAsia="Times New Roman" w:hAnsi="Arial" w:cs="Arial"/>
                                <w:color w:val="FFFFFF" w:themeColor="background1"/>
                                <w:sz w:val="20"/>
                                <w:szCs w:val="20"/>
                              </w:rPr>
                              <w:t>nov</w:t>
                            </w:r>
                            <w:r w:rsidR="00F46B6E">
                              <w:rPr>
                                <w:rFonts w:ascii="Arial" w:eastAsia="Times New Roman" w:hAnsi="Arial" w:cs="Arial"/>
                                <w:color w:val="FFFFFF" w:themeColor="background1"/>
                                <w:sz w:val="20"/>
                                <w:szCs w:val="20"/>
                              </w:rPr>
                              <w:t>embro</w:t>
                            </w:r>
                            <w:r w:rsidRPr="00106C29">
                              <w:rPr>
                                <w:rFonts w:ascii="Arial" w:eastAsia="Times New Roman" w:hAnsi="Arial" w:cs="Arial"/>
                                <w:color w:val="FFFFFF" w:themeColor="background1"/>
                                <w:sz w:val="20"/>
                                <w:szCs w:val="20"/>
                              </w:rPr>
                              <w:t>/2023</w:t>
                            </w:r>
                            <w:r w:rsidRPr="00106C29">
                              <w:rPr>
                                <w:rFonts w:ascii="Arial" w:eastAsia="Times New Roman" w:hAnsi="Arial" w:cs="Arial"/>
                                <w:color w:val="FFFFFF" w:themeColor="background1"/>
                                <w:sz w:val="20"/>
                                <w:szCs w:val="20"/>
                              </w:rPr>
                              <w:br/>
                              <w:t xml:space="preserve">Sugestões, elogios e críticas: </w:t>
                            </w:r>
                            <w:hyperlink r:id="rId20">
                              <w:r w:rsidRPr="00106C29">
                                <w:rPr>
                                  <w:rStyle w:val="Hyperlink"/>
                                  <w:rFonts w:ascii="Arial" w:eastAsia="Times New Roman" w:hAnsi="Arial" w:cs="Arial"/>
                                  <w:color w:val="FFFFFF" w:themeColor="background1"/>
                                  <w:sz w:val="24"/>
                                  <w:szCs w:val="24"/>
                                  <w:u w:val="none"/>
                                </w:rPr>
                                <w:t>pgf.cpuc@agu.gov.br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76B0C" id="Caixa de Texto 96" o:spid="_x0000_s1051" type="#_x0000_t202" style="position:absolute;left:0;text-align:left;margin-left:87.6pt;margin-top:621.25pt;width:146.05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" filled="f" stroked="f" strokeweight=".5pt">
                <v:textbox>
                  <w:txbxContent>
                    <w:p w14:paraId="47DB1540" w14:textId="751CC1BE" w:rsidR="00062F68" w:rsidRPr="00106C29" w:rsidRDefault="00062F68" w:rsidP="00062F68">
                      <w:pPr>
                        <w:rPr>
                          <w:rFonts w:ascii="Arial" w:hAnsi="Arial" w:cs="Arial"/>
                          <w:color w:val="FFFFFF" w:themeColor="background1"/>
                          <w:sz w:val="20"/>
                          <w:szCs w:val="20"/>
                        </w:rPr>
                      </w:pPr>
                      <w:r w:rsidRPr="00106C29">
                        <w:rPr>
                          <w:rFonts w:ascii="Arial" w:eastAsia="Times New Roman" w:hAnsi="Arial" w:cs="Arial"/>
                          <w:color w:val="FFFFFF" w:themeColor="background1"/>
                          <w:sz w:val="20"/>
                          <w:szCs w:val="20"/>
                        </w:rPr>
                        <w:t xml:space="preserve">Atualização: </w:t>
                      </w:r>
                      <w:r w:rsidR="008051F5">
                        <w:rPr>
                          <w:rFonts w:ascii="Arial" w:eastAsia="Times New Roman" w:hAnsi="Arial" w:cs="Arial"/>
                          <w:color w:val="FFFFFF" w:themeColor="background1"/>
                          <w:sz w:val="20"/>
                          <w:szCs w:val="20"/>
                        </w:rPr>
                        <w:t>nov</w:t>
                      </w:r>
                      <w:r w:rsidR="00F46B6E">
                        <w:rPr>
                          <w:rFonts w:ascii="Arial" w:eastAsia="Times New Roman" w:hAnsi="Arial" w:cs="Arial"/>
                          <w:color w:val="FFFFFF" w:themeColor="background1"/>
                          <w:sz w:val="20"/>
                          <w:szCs w:val="20"/>
                        </w:rPr>
                        <w:t>embro</w:t>
                      </w:r>
                      <w:r w:rsidRPr="00106C29">
                        <w:rPr>
                          <w:rFonts w:ascii="Arial" w:eastAsia="Times New Roman" w:hAnsi="Arial" w:cs="Arial"/>
                          <w:color w:val="FFFFFF" w:themeColor="background1"/>
                          <w:sz w:val="20"/>
                          <w:szCs w:val="20"/>
                        </w:rPr>
                        <w:t>/2023</w:t>
                      </w:r>
                      <w:r w:rsidRPr="00106C29">
                        <w:rPr>
                          <w:rFonts w:ascii="Arial" w:eastAsia="Times New Roman" w:hAnsi="Arial" w:cs="Arial"/>
                          <w:color w:val="FFFFFF" w:themeColor="background1"/>
                          <w:sz w:val="20"/>
                          <w:szCs w:val="20"/>
                        </w:rPr>
                        <w:br/>
                        <w:t xml:space="preserve">Sugestões, elogios e críticas: </w:t>
                      </w:r>
                      <w:hyperlink r:id="rId21">
                        <w:r w:rsidRPr="00106C29">
                          <w:rPr>
                            <w:rStyle w:val="Hyperlink"/>
                            <w:rFonts w:ascii="Arial" w:eastAsia="Times New Roman" w:hAnsi="Arial" w:cs="Arial"/>
                            <w:color w:val="FFFFFF" w:themeColor="background1"/>
                            <w:sz w:val="24"/>
                            <w:szCs w:val="24"/>
                            <w:u w:val="none"/>
                          </w:rPr>
                          <w:t>pgf.cpuc@agu.gov.br</w:t>
                        </w:r>
                      </w:hyperlink>
                    </w:p>
                  </w:txbxContent>
                </v:textbox>
              </v:shape>
            </w:pict>
          </mc:Fallback>
        </mc:AlternateContent>
      </w:r>
      <w:r w:rsidR="008245B4">
        <w:rPr>
          <w:noProof/>
          <w:color w:val="FFFFFF" w:themeColor="background1"/>
        </w:rPr>
        <mc:AlternateContent>
          <mc:Choice Requires="wps">
            <w:drawing>
              <wp:anchor distT="0" distB="0" distL="114300" distR="114300" simplePos="0" relativeHeight="251691008" behindDoc="0" locked="0" layoutInCell="1" allowOverlap="1" wp14:anchorId="163922AC" wp14:editId="121D30ED">
                <wp:simplePos x="0" y="0"/>
                <wp:positionH relativeFrom="column">
                  <wp:posOffset>5219700</wp:posOffset>
                </wp:positionH>
                <wp:positionV relativeFrom="paragraph">
                  <wp:posOffset>7684770</wp:posOffset>
                </wp:positionV>
                <wp:extent cx="1104265" cy="1079500"/>
                <wp:effectExtent l="38100" t="38100" r="114935" b="120650"/>
                <wp:wrapNone/>
                <wp:docPr id="98" name="Retângulo: Cantos Arredondados 98"/>
                <wp:cNvGraphicFramePr/>
                <a:graphic xmlns:a="http://schemas.openxmlformats.org/drawingml/2006/main">
                  <a:graphicData uri="http://schemas.microsoft.com/office/word/2010/wordprocessingShape">
                    <wps:wsp>
                      <wps:cNvSpPr/>
                      <wps:spPr>
                        <a:xfrm>
                          <a:off x="0" y="0"/>
                          <a:ext cx="1104265" cy="1079500"/>
                        </a:xfrm>
                        <a:prstGeom prst="roundRect">
                          <a:avLst/>
                        </a:prstGeom>
                        <a:solidFill>
                          <a:schemeClr val="bg1"/>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3A6F8" id="Retângulo: Cantos Arredondados 98" o:spid="_x0000_s1026" style="position:absolute;margin-left:411pt;margin-top:605.1pt;width:86.9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" fillcolor="white [3212]" strokecolor="white [3212]" strokeweight="1pt">
                <v:stroke joinstyle="miter"/>
                <v:shadow on="t" color="black" opacity="26214f" origin="-.5,-.5" offset=".74836mm,.74836mm"/>
              </v:roundrect>
            </w:pict>
          </mc:Fallback>
        </mc:AlternateContent>
      </w:r>
      <w:r w:rsidR="008245B4" w:rsidRPr="005A50EF">
        <w:rPr>
          <w:noProof/>
          <w:color w:val="FFFFFF" w:themeColor="background1"/>
        </w:rPr>
        <mc:AlternateContent>
          <mc:Choice Requires="wps">
            <w:drawing>
              <wp:anchor distT="0" distB="0" distL="114300" distR="114300" simplePos="0" relativeHeight="251683840" behindDoc="1" locked="0" layoutInCell="1" allowOverlap="1" wp14:anchorId="1778FDCD" wp14:editId="2432E95F">
                <wp:simplePos x="0" y="0"/>
                <wp:positionH relativeFrom="column">
                  <wp:posOffset>-74295</wp:posOffset>
                </wp:positionH>
                <wp:positionV relativeFrom="paragraph">
                  <wp:posOffset>7705090</wp:posOffset>
                </wp:positionV>
                <wp:extent cx="3276600" cy="898525"/>
                <wp:effectExtent l="0" t="0" r="0" b="0"/>
                <wp:wrapNone/>
                <wp:docPr id="83" name="Retângulo: Cantos Arredondados 83"/>
                <wp:cNvGraphicFramePr/>
                <a:graphic xmlns:a="http://schemas.openxmlformats.org/drawingml/2006/main">
                  <a:graphicData uri="http://schemas.microsoft.com/office/word/2010/wordprocessingShape">
                    <wps:wsp>
                      <wps:cNvSpPr/>
                      <wps:spPr>
                        <a:xfrm>
                          <a:off x="0" y="0"/>
                          <a:ext cx="3276600" cy="898525"/>
                        </a:xfrm>
                        <a:prstGeom prst="roundRect">
                          <a:avLst>
                            <a:gd name="adj" fmla="val 9587"/>
                          </a:avLst>
                        </a:prstGeom>
                        <a:solidFill>
                          <a:srgbClr val="B987B4"/>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68D8C18B" w14:textId="7D5FAEC0"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8FDCD" id="Retângulo: Cantos Arredondados 83" o:spid="_x0000_s1052" style="position:absolute;left:0;text-align:left;margin-left:-5.85pt;margin-top:606.7pt;width:258pt;height:70.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" fillcolor="#b987b4" stroked="f" strokeweight="1pt">
                <v:stroke joinstyle="miter"/>
                <v:textbox>
                  <w:txbxContent>
                    <w:p w14:paraId="68D8C18B" w14:textId="7D5FAEC0"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B92AC4">
        <w:rPr>
          <w:rFonts w:ascii="Times New Roman" w:eastAsia="Times New Roman" w:hAnsi="Times New Roman" w:cs="Times New Roman"/>
          <w:noProof/>
          <w:color w:val="000000" w:themeColor="text1"/>
          <w:sz w:val="24"/>
          <w:szCs w:val="24"/>
        </w:rPr>
        <w:t xml:space="preserve"> </w:t>
      </w:r>
      <w:r w:rsidR="00062F68">
        <w:rPr>
          <w:rFonts w:ascii="Times New Roman" w:eastAsia="Times New Roman" w:hAnsi="Times New Roman" w:cs="Times New Roman"/>
        </w:rPr>
        <w:br w:type="page"/>
      </w:r>
      <w:r w:rsidR="00854C77" w:rsidRPr="109B4C5A">
        <w:rPr>
          <w:rFonts w:ascii="Times New Roman" w:eastAsia="Times New Roman" w:hAnsi="Times New Roman" w:cs="Times New Roman"/>
          <w:b/>
          <w:bCs/>
          <w:color w:val="000000" w:themeColor="text1"/>
          <w:sz w:val="24"/>
          <w:szCs w:val="24"/>
          <w:lang w:eastAsia="pt-BR"/>
        </w:rPr>
        <w:lastRenderedPageBreak/>
        <w:t>EMENTA:</w:t>
      </w:r>
      <w:r w:rsidR="00854C77" w:rsidRPr="109B4C5A">
        <w:rPr>
          <w:rFonts w:ascii="Times New Roman" w:eastAsia="Times New Roman" w:hAnsi="Times New Roman" w:cs="Times New Roman"/>
          <w:color w:val="000000" w:themeColor="text1"/>
          <w:sz w:val="24"/>
          <w:szCs w:val="24"/>
          <w:lang w:eastAsia="pt-BR"/>
        </w:rPr>
        <w:t xml:space="preserve"> Contrato de prestação de serviços e fornecimentos continuados. Termo aditivo. Prorrogação de vigência com fundamento no art. 107 da Lei nº </w:t>
      </w:r>
      <w:hyperlink r:id="rId22">
        <w:r w:rsidR="00854C77" w:rsidRPr="109B4C5A">
          <w:rPr>
            <w:rFonts w:ascii="Times New Roman" w:eastAsia="Times New Roman" w:hAnsi="Times New Roman" w:cs="Times New Roman"/>
            <w:color w:val="000000" w:themeColor="text1"/>
            <w:sz w:val="24"/>
            <w:szCs w:val="24"/>
            <w:lang w:eastAsia="pt-BR"/>
          </w:rPr>
          <w:t>14.133, de 1º de abril de 2021</w:t>
        </w:r>
      </w:hyperlink>
      <w:r w:rsidR="00854C77" w:rsidRPr="109B4C5A">
        <w:rPr>
          <w:rFonts w:ascii="Times New Roman" w:eastAsia="Times New Roman" w:hAnsi="Times New Roman" w:cs="Times New Roman"/>
          <w:color w:val="000000" w:themeColor="text1"/>
          <w:sz w:val="24"/>
          <w:szCs w:val="24"/>
          <w:lang w:eastAsia="pt-BR"/>
        </w:rPr>
        <w:t>.</w:t>
      </w:r>
      <w:r w:rsidR="00854C77" w:rsidRPr="109B4C5A">
        <w:rPr>
          <w:rFonts w:ascii="Times New Roman" w:eastAsia="Times New Roman" w:hAnsi="Times New Roman" w:cs="Times New Roman"/>
          <w:b/>
          <w:bCs/>
          <w:color w:val="000000" w:themeColor="text1"/>
          <w:sz w:val="24"/>
          <w:szCs w:val="24"/>
          <w:lang w:eastAsia="pt-BR"/>
        </w:rPr>
        <w:t xml:space="preserve"> </w:t>
      </w:r>
      <w:r w:rsidR="00854C77" w:rsidRPr="109B4C5A">
        <w:rPr>
          <w:rFonts w:ascii="Times New Roman" w:eastAsia="Times New Roman" w:hAnsi="Times New Roman" w:cs="Times New Roman"/>
          <w:color w:val="000000" w:themeColor="text1"/>
          <w:sz w:val="24"/>
          <w:szCs w:val="24"/>
          <w:lang w:eastAsia="pt-BR"/>
        </w:rPr>
        <w:t>Recomendação para adoção do presente parecer como Parecer Referencial</w:t>
      </w:r>
      <w:r w:rsidR="00854C77" w:rsidRPr="109B4C5A">
        <w:rPr>
          <w:rFonts w:ascii="Times New Roman" w:eastAsia="Times New Roman" w:hAnsi="Times New Roman" w:cs="Times New Roman"/>
          <w:b/>
          <w:bCs/>
          <w:color w:val="000000" w:themeColor="text1"/>
          <w:sz w:val="24"/>
          <w:szCs w:val="24"/>
          <w:lang w:eastAsia="pt-BR"/>
        </w:rPr>
        <w:t>, </w:t>
      </w:r>
      <w:r w:rsidR="00854C77" w:rsidRPr="109B4C5A">
        <w:rPr>
          <w:rFonts w:ascii="Times New Roman" w:eastAsia="Times New Roman" w:hAnsi="Times New Roman" w:cs="Times New Roman"/>
          <w:color w:val="000000" w:themeColor="text1"/>
          <w:sz w:val="24"/>
          <w:szCs w:val="24"/>
          <w:lang w:eastAsia="pt-BR"/>
        </w:rPr>
        <w:t xml:space="preserve">na forma da </w:t>
      </w:r>
      <w:hyperlink r:id="rId23">
        <w:r w:rsidR="00854C77" w:rsidRPr="109B4C5A">
          <w:rPr>
            <w:rFonts w:ascii="Times New Roman" w:eastAsia="Times New Roman" w:hAnsi="Times New Roman" w:cs="Times New Roman"/>
            <w:color w:val="0000FF"/>
            <w:sz w:val="24"/>
            <w:szCs w:val="24"/>
            <w:u w:val="single"/>
            <w:lang w:eastAsia="pt-BR"/>
          </w:rPr>
          <w:t>Orientação Normativa AGU n.º 55, de 23 de maio de 2014</w:t>
        </w:r>
      </w:hyperlink>
      <w:r w:rsidR="00854C77" w:rsidRPr="109B4C5A">
        <w:rPr>
          <w:rFonts w:ascii="Times New Roman" w:eastAsia="Times New Roman" w:hAnsi="Times New Roman" w:cs="Times New Roman"/>
          <w:color w:val="000000" w:themeColor="text1"/>
          <w:sz w:val="24"/>
          <w:szCs w:val="24"/>
          <w:lang w:eastAsia="pt-BR"/>
        </w:rPr>
        <w:t xml:space="preserve"> e Portaria PGF n.º 262, de 05 de maio de 2017, nos casos de ausência de dúvidas jurídicas. </w:t>
      </w:r>
    </w:p>
    <w:p w14:paraId="19622253" w14:textId="77777777" w:rsidR="00854C77" w:rsidRPr="003D0716" w:rsidRDefault="00854C77" w:rsidP="00854C77">
      <w:pPr>
        <w:spacing w:after="0" w:line="240" w:lineRule="auto"/>
        <w:ind w:left="1125"/>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w:t>
      </w:r>
    </w:p>
    <w:p w14:paraId="64CB923B" w14:textId="77777777" w:rsidR="00854C77" w:rsidRDefault="00854C77" w:rsidP="00854C77">
      <w:pPr>
        <w:spacing w:after="0" w:line="240" w:lineRule="auto"/>
        <w:ind w:left="1125"/>
        <w:jc w:val="both"/>
        <w:rPr>
          <w:rFonts w:ascii="Times New Roman" w:eastAsia="Times New Roman" w:hAnsi="Times New Roman" w:cs="Times New Roman"/>
          <w:color w:val="000000" w:themeColor="text1"/>
          <w:sz w:val="24"/>
          <w:szCs w:val="24"/>
          <w:lang w:eastAsia="pt-BR"/>
        </w:rPr>
      </w:pPr>
    </w:p>
    <w:p w14:paraId="70B5D79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sz w:val="24"/>
          <w:szCs w:val="24"/>
          <w:lang w:eastAsia="pt-BR"/>
        </w:rPr>
        <w:t xml:space="preserve">DO CABIMENTO E DO OBJETO DO PRESENTE </w:t>
      </w:r>
      <w:proofErr w:type="gramStart"/>
      <w:r w:rsidRPr="109B4C5A">
        <w:rPr>
          <w:rFonts w:ascii="Times New Roman" w:eastAsia="Times New Roman" w:hAnsi="Times New Roman" w:cs="Times New Roman"/>
          <w:b/>
          <w:bCs/>
          <w:sz w:val="24"/>
          <w:szCs w:val="24"/>
          <w:lang w:eastAsia="pt-BR"/>
        </w:rPr>
        <w:t>PARECER  REFERENCIAL</w:t>
      </w:r>
      <w:proofErr w:type="gramEnd"/>
      <w:r w:rsidRPr="109B4C5A">
        <w:rPr>
          <w:rFonts w:ascii="Times New Roman" w:eastAsia="Times New Roman" w:hAnsi="Times New Roman" w:cs="Times New Roman"/>
          <w:sz w:val="24"/>
          <w:szCs w:val="24"/>
          <w:lang w:eastAsia="pt-BR"/>
        </w:rPr>
        <w:t> </w:t>
      </w:r>
    </w:p>
    <w:p w14:paraId="0B1CCD3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AF99F8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Orientação Normativa AGU nº 55, de 2014 (DOU de 26/05/2014), autoriza a adoção de manifestação jurídica referencial, dispensando-se a análise individualizada de matérias que envolvam questões jurídicas idênticas e recorrentes, nos seguintes termos: </w:t>
      </w:r>
    </w:p>
    <w:p w14:paraId="0569009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8495E7A" w14:textId="77777777" w:rsidR="00854C77" w:rsidRPr="003D0716" w:rsidRDefault="00854C77" w:rsidP="00854C77">
      <w:pPr>
        <w:spacing w:after="0" w:line="240" w:lineRule="auto"/>
        <w:ind w:left="226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I - Os processos que sejam objeto de manifestação jurídica referencial, isto é, aquela que analisa todas as questões jurídicas que envolvam matérias idênticas e recorrentes, estão dispensados de análise individualizada pelos órgãos consultivos, desde que a área técnica ateste, de forma expressa, que o caso concreto se amolda aos termos da citada manifestação. </w:t>
      </w:r>
    </w:p>
    <w:p w14:paraId="21BA4730" w14:textId="77777777" w:rsidR="00854C77" w:rsidRPr="003D0716" w:rsidRDefault="00854C77" w:rsidP="00854C77">
      <w:pPr>
        <w:spacing w:after="0" w:line="240" w:lineRule="auto"/>
        <w:ind w:left="226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II - Para a elaboração de manifestação jurídica referencial devem ser observados os seguintes requisitos: a)</w:t>
      </w:r>
      <w:r w:rsidRPr="003D0716">
        <w:rPr>
          <w:rFonts w:ascii="Times New Roman" w:eastAsia="Times New Roman" w:hAnsi="Times New Roman" w:cs="Times New Roman"/>
          <w:b/>
          <w:bCs/>
          <w:color w:val="000000"/>
          <w:sz w:val="24"/>
          <w:szCs w:val="24"/>
          <w:lang w:eastAsia="pt-BR"/>
        </w:rPr>
        <w:t xml:space="preserve"> </w:t>
      </w:r>
      <w:r w:rsidRPr="003D0716">
        <w:rPr>
          <w:rFonts w:ascii="Times New Roman" w:eastAsia="Times New Roman" w:hAnsi="Times New Roman" w:cs="Times New Roman"/>
          <w:color w:val="000000"/>
          <w:sz w:val="24"/>
          <w:szCs w:val="24"/>
          <w:lang w:eastAsia="pt-BR"/>
        </w:rPr>
        <w:t>o volume de processos em matérias idênticas e recorrentes impactar, justificadamente, a atuação do órgão consultivo ou a celeridade dos serviços administrativos; e b) a atividade jurídica exercida se restringir à verificação do atendimento das exigências legais a partir da simples conferência de documentos. </w:t>
      </w:r>
    </w:p>
    <w:p w14:paraId="0249C04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261197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Com o fim de disciplinar a “elaboração e a divulgação de manifestação jurídica referencial pelos órgãos de execução da Procuradoria-Geral Federal no desempenho das atividades de consultoria jurídica”, a PGF editou a Portaria nº 262, de 2017. </w:t>
      </w:r>
    </w:p>
    <w:p w14:paraId="421B99C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7E6DE6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Nos termos do art. 1º, parágrafo único, da aludida Portaria, "considera-se manifestação jurídica referencial aquela que analisa todas as questões jurídicas que envolvam matérias idênticas e recorrentes, dispensando a obrigatoriedade legal de elaboração de parecer individualizado para os respectivos casos concretos</w:t>
      </w:r>
      <w:r w:rsidRPr="003D0716">
        <w:rPr>
          <w:rFonts w:ascii="Times New Roman" w:eastAsia="Times New Roman" w:hAnsi="Times New Roman" w:cs="Times New Roman"/>
          <w:i/>
          <w:iCs/>
          <w:color w:val="000000"/>
          <w:sz w:val="24"/>
          <w:szCs w:val="24"/>
          <w:lang w:eastAsia="pt-BR"/>
        </w:rPr>
        <w:t>".</w:t>
      </w:r>
      <w:r w:rsidRPr="003D0716">
        <w:rPr>
          <w:rFonts w:ascii="Times New Roman" w:eastAsia="Times New Roman" w:hAnsi="Times New Roman" w:cs="Times New Roman"/>
          <w:color w:val="000000"/>
          <w:sz w:val="24"/>
          <w:szCs w:val="24"/>
          <w:lang w:eastAsia="pt-BR"/>
        </w:rPr>
        <w:t> </w:t>
      </w:r>
    </w:p>
    <w:p w14:paraId="2EEDF17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9559EA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manifestação jurídica referencial constitui-se, portanto, em medida adequada a orientar a Administração e capaz de conferir segurança jurídica à sua atuação, prescindindo, no entanto, da análise individualizada desses processos pelo órgão de consultoria jurídica, salvo a existência de dúvida jurídica. </w:t>
      </w:r>
    </w:p>
    <w:p w14:paraId="64B5260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480594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Trata-se de importante ferramenta destinada à otimização e racionalização do trabalho, viabilizando maior dedicação ao enfrentamento de questões complexas, com atuação prioritária, estratégicas e especializadas, que demandam uma atuação qualificada. </w:t>
      </w:r>
    </w:p>
    <w:p w14:paraId="1AED828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4B58CC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Relevante destacar a necessidade de observância aos requisitos estabelecidos pela Portaria PGF nº 262, de 2017, para a elaboração de manifestação jurídica referencial: </w:t>
      </w:r>
    </w:p>
    <w:p w14:paraId="63E65AF3" w14:textId="77777777" w:rsidR="00854C77" w:rsidRPr="003D0716" w:rsidRDefault="00854C77" w:rsidP="00854C77">
      <w:pPr>
        <w:spacing w:after="0" w:line="240" w:lineRule="auto"/>
        <w:ind w:left="225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73C0002" w14:textId="77777777" w:rsidR="00854C77" w:rsidRPr="00DE49C8" w:rsidRDefault="00854C77" w:rsidP="00854C77">
      <w:pPr>
        <w:spacing w:after="0" w:line="240" w:lineRule="auto"/>
        <w:ind w:left="2250"/>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lastRenderedPageBreak/>
        <w:t>Art. 2º São requisitos para a elaboração de manifestação jurídica referencial: </w:t>
      </w:r>
    </w:p>
    <w:p w14:paraId="73D91D7F" w14:textId="77777777" w:rsidR="00854C77" w:rsidRPr="00DE49C8" w:rsidRDefault="00854C77" w:rsidP="00854C77">
      <w:pPr>
        <w:spacing w:after="0" w:line="240" w:lineRule="auto"/>
        <w:ind w:left="2265" w:hanging="15"/>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xml:space="preserve">I - </w:t>
      </w:r>
      <w:proofErr w:type="gramStart"/>
      <w:r w:rsidRPr="00DE49C8">
        <w:rPr>
          <w:rFonts w:ascii="Times New Roman" w:eastAsia="Times New Roman" w:hAnsi="Times New Roman" w:cs="Times New Roman"/>
          <w:color w:val="000000"/>
          <w:lang w:eastAsia="pt-BR"/>
        </w:rPr>
        <w:t>o</w:t>
      </w:r>
      <w:proofErr w:type="gramEnd"/>
      <w:r w:rsidRPr="00DE49C8">
        <w:rPr>
          <w:rFonts w:ascii="Times New Roman" w:eastAsia="Times New Roman" w:hAnsi="Times New Roman" w:cs="Times New Roman"/>
          <w:color w:val="000000"/>
          <w:lang w:eastAsia="pt-BR"/>
        </w:rPr>
        <w:t xml:space="preserve"> volume de processos em matérias idênticas e recorrentes que acarrete sobrecarga de trabalho devidamente comprovada e venha a impactar, justificadamente, a atuação do órgão consultivo ou a celeridade dos serviços administrativos e </w:t>
      </w:r>
    </w:p>
    <w:p w14:paraId="6B4D89FE" w14:textId="77777777" w:rsidR="00854C77" w:rsidRPr="00DE49C8" w:rsidRDefault="00854C77" w:rsidP="00854C77">
      <w:pPr>
        <w:spacing w:after="0" w:line="240" w:lineRule="auto"/>
        <w:ind w:left="2265" w:hanging="15"/>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xml:space="preserve">II - </w:t>
      </w:r>
      <w:proofErr w:type="gramStart"/>
      <w:r w:rsidRPr="00DE49C8">
        <w:rPr>
          <w:rFonts w:ascii="Times New Roman" w:eastAsia="Times New Roman" w:hAnsi="Times New Roman" w:cs="Times New Roman"/>
          <w:color w:val="000000"/>
          <w:lang w:eastAsia="pt-BR"/>
        </w:rPr>
        <w:t>a</w:t>
      </w:r>
      <w:proofErr w:type="gramEnd"/>
      <w:r w:rsidRPr="00DE49C8">
        <w:rPr>
          <w:rFonts w:ascii="Times New Roman" w:eastAsia="Times New Roman" w:hAnsi="Times New Roman" w:cs="Times New Roman"/>
          <w:color w:val="000000"/>
          <w:lang w:eastAsia="pt-BR"/>
        </w:rPr>
        <w:t xml:space="preserve"> atividade jurídica exercida se restringir à verificação do atendimento das exigências legais a partir da simples conferência de documentos. </w:t>
      </w:r>
    </w:p>
    <w:p w14:paraId="18B3D507" w14:textId="77777777" w:rsidR="00854C77" w:rsidRPr="00DE49C8" w:rsidRDefault="00854C77" w:rsidP="00854C77">
      <w:pPr>
        <w:spacing w:after="0" w:line="240" w:lineRule="auto"/>
        <w:ind w:left="2265" w:hanging="15"/>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w:t>
      </w:r>
    </w:p>
    <w:p w14:paraId="46003BD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204A03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Nesse contexto, a análise dos termos aditivos de prorrogação de contratos de serviços e fornecimentos continuados, com fundamento no art. 107 da Lei n.º 14.133, de 2021,</w:t>
      </w:r>
      <w:r w:rsidRPr="109B4C5A">
        <w:rPr>
          <w:rFonts w:ascii="Times New Roman" w:eastAsia="Times New Roman" w:hAnsi="Times New Roman" w:cs="Times New Roman"/>
          <w:color w:val="000000" w:themeColor="text1"/>
          <w:sz w:val="24"/>
          <w:szCs w:val="24"/>
          <w:lang w:eastAsia="pt-BR"/>
        </w:rPr>
        <w:t xml:space="preserve"> representa grande volume de processos e ostenta aspecto de simples conferência de documentos e prazos, sem questões jurídicas relevantes a serem dirimidas, enquadrando-se nas hipóteses autorizadas pela ON AGU nº 55, de 2014, e pela Portaria PGF nº 262, de 2017. </w:t>
      </w:r>
    </w:p>
    <w:p w14:paraId="56823FA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DD0F149"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 xml:space="preserve">O presente Parecer Referencial aplica-se às hipóteses de prorrogação do prazo de vigência em contratos cujo objeto seja a prestação de serviços e fornecimentos contínuos, de acordo com o art. 107 da Lei </w:t>
      </w:r>
      <w:r w:rsidRPr="109B4C5A">
        <w:rPr>
          <w:rFonts w:ascii="Times New Roman" w:eastAsia="Times New Roman" w:hAnsi="Times New Roman" w:cs="Times New Roman"/>
          <w:sz w:val="24"/>
          <w:szCs w:val="24"/>
          <w:lang w:eastAsia="pt-BR"/>
        </w:rPr>
        <w:t xml:space="preserve">n.º </w:t>
      </w:r>
      <w:r w:rsidRPr="109B4C5A">
        <w:rPr>
          <w:rFonts w:ascii="Times New Roman" w:eastAsia="Times New Roman" w:hAnsi="Times New Roman" w:cs="Times New Roman"/>
          <w:color w:val="000000" w:themeColor="text1"/>
          <w:sz w:val="24"/>
          <w:szCs w:val="24"/>
          <w:lang w:eastAsia="pt-BR"/>
        </w:rPr>
        <w:t>14.133, de 2021. </w:t>
      </w:r>
    </w:p>
    <w:p w14:paraId="33C574E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921C324"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O ente assessorado deverá atestar, de forma expressa, que o caso concreto se amolda às hipóteses deste referencial, nos termos do art. 3º, §2º, da Portaria PGF/AGU nº 262, de 2017. </w:t>
      </w:r>
      <w:r w:rsidRPr="003D0716">
        <w:rPr>
          <w:rFonts w:ascii="Times New Roman" w:eastAsia="Times New Roman" w:hAnsi="Times New Roman" w:cs="Times New Roman"/>
          <w:color w:val="333333"/>
          <w:sz w:val="24"/>
          <w:szCs w:val="24"/>
          <w:lang w:eastAsia="pt-BR"/>
        </w:rPr>
        <w:t xml:space="preserve">Além disso, devem ser utilizados os modelos de minuta de termo aditivo e lista de </w:t>
      </w:r>
      <w:r w:rsidRPr="00DE49C8">
        <w:rPr>
          <w:rFonts w:ascii="Times New Roman" w:eastAsia="Times New Roman" w:hAnsi="Times New Roman" w:cs="Times New Roman"/>
          <w:color w:val="000000"/>
          <w:sz w:val="24"/>
          <w:szCs w:val="24"/>
          <w:lang w:eastAsia="pt-BR"/>
        </w:rPr>
        <w:t>verificação de aditamentos atualizados, quando disponibilizados pela AGU, em seu sítio eletrônico. </w:t>
      </w:r>
    </w:p>
    <w:p w14:paraId="5F480907"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DE49C8">
        <w:rPr>
          <w:rFonts w:ascii="Times New Roman" w:eastAsia="Times New Roman" w:hAnsi="Times New Roman" w:cs="Times New Roman"/>
          <w:color w:val="000000"/>
          <w:sz w:val="24"/>
          <w:szCs w:val="24"/>
          <w:lang w:eastAsia="pt-BR"/>
        </w:rPr>
        <w:t> </w:t>
      </w:r>
    </w:p>
    <w:p w14:paraId="698F404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Administração poderá, a qualquer tempo, provocar a atuação do órgão de consultoria nas dúvidas jurídicas específicas que surgirem nos respectivos processos desta espécie, bem como para atualização do presente parecer.  </w:t>
      </w:r>
    </w:p>
    <w:p w14:paraId="37A21C3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1205E5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FUNDAMENTAÇÃO </w:t>
      </w:r>
      <w:r w:rsidRPr="003D0716">
        <w:rPr>
          <w:rFonts w:ascii="Times New Roman" w:eastAsia="Times New Roman" w:hAnsi="Times New Roman" w:cs="Times New Roman"/>
          <w:color w:val="000000"/>
          <w:sz w:val="24"/>
          <w:szCs w:val="24"/>
          <w:lang w:eastAsia="pt-BR"/>
        </w:rPr>
        <w:t> </w:t>
      </w:r>
    </w:p>
    <w:p w14:paraId="31CF0D16"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80"/>
          <w:sz w:val="24"/>
          <w:szCs w:val="24"/>
          <w:lang w:eastAsia="pt-BR"/>
        </w:rPr>
        <w:t> </w:t>
      </w:r>
    </w:p>
    <w:p w14:paraId="6F35DFA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FINALIDADE E ABRANGÊNCIA DO PARECER JURÍDICO</w:t>
      </w:r>
      <w:r w:rsidRPr="003D0716">
        <w:rPr>
          <w:rFonts w:ascii="Times New Roman" w:eastAsia="Times New Roman" w:hAnsi="Times New Roman" w:cs="Times New Roman"/>
          <w:sz w:val="24"/>
          <w:szCs w:val="24"/>
          <w:lang w:eastAsia="pt-BR"/>
        </w:rPr>
        <w:t> </w:t>
      </w:r>
    </w:p>
    <w:p w14:paraId="00D201A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13954FF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presente manifestação jurídica tem o escopo de assistir a autoridade assessorada no controle prévio de legalidade, conforme </w:t>
      </w:r>
      <w:r w:rsidRPr="00DE49C8">
        <w:rPr>
          <w:rFonts w:ascii="Times New Roman" w:eastAsia="Times New Roman" w:hAnsi="Times New Roman" w:cs="Times New Roman"/>
          <w:color w:val="000000"/>
          <w:sz w:val="24"/>
          <w:szCs w:val="24"/>
          <w:lang w:eastAsia="pt-BR"/>
        </w:rPr>
        <w:t>art. 53, 4º, da Lei nº 14.133, de 1º de abril de 2021</w:t>
      </w:r>
      <w:r w:rsidRPr="003D0716">
        <w:rPr>
          <w:rFonts w:ascii="Times New Roman" w:eastAsia="Times New Roman" w:hAnsi="Times New Roman" w:cs="Times New Roman"/>
          <w:color w:val="000000"/>
          <w:sz w:val="24"/>
          <w:szCs w:val="24"/>
          <w:lang w:eastAsia="pt-BR"/>
        </w:rPr>
        <w:t>. Dessa maneira, não há determinação legal a impor a fiscalização posterior de cumprimento de recomendações feitas pela unidade jurídico-consultiva. Além do mais, na eventualidade de o administrador não atender as orientações do Órgão Consultivo, passa a assumir, inteiramente, a responsabilidade por sua conduta.   </w:t>
      </w:r>
    </w:p>
    <w:p w14:paraId="622A4FDC"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C46A40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Ressalte-se que o exame aqui empreendido se restringe aos aspectos jurídicos do procedimento, excluídos, portanto, aqueles de natureza eminentemente técnica, o que inclui o detalhamento do objeto da contratação, suas características, requisitos e especificações, uma vez que as questões técnicas fogem das atribuições deste órgão de consultoria, sendo afetos aos setores competentes da Administração. Com relação a esses dados, parte-se da premissa de que a autoridade competente se municiará dos conhecimentos técnicos imprescindíveis para a sua adequação às necessidades da Administração, conforme Enunciado nº 7 do Manual de Boas Práticas Consultivas da AGU (4ª edição, 2016), que assim dispõe: </w:t>
      </w:r>
    </w:p>
    <w:p w14:paraId="0D10188F"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D8AE244" w14:textId="77777777" w:rsidR="00854C77" w:rsidRPr="00DE49C8" w:rsidRDefault="00854C77" w:rsidP="00854C77">
      <w:pPr>
        <w:spacing w:after="0" w:line="240" w:lineRule="auto"/>
        <w:ind w:left="1710"/>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xml:space="preserve">A manifestação consultiva que adentrar questão jurídica com potencial de significativo reflexo em aspecto técnico deve conter justificativa da necessidade de </w:t>
      </w:r>
      <w:r w:rsidRPr="00DE49C8">
        <w:rPr>
          <w:rFonts w:ascii="Times New Roman" w:eastAsia="Times New Roman" w:hAnsi="Times New Roman" w:cs="Times New Roman"/>
          <w:color w:val="000000"/>
          <w:lang w:eastAsia="pt-BR"/>
        </w:rPr>
        <w:lastRenderedPageBreak/>
        <w:t>fazê-lo, evitando-se posicionamentos conclusivos sobre temas não jurídicos, tais como os técnicos, administrativos ou de conveniência ou oportunidade, podendo-se, porém, sobre estes emitir opinião ou formular recomendações, desde que enfatizando o caráter discricionário de seu acatamento. (Manual de Boas Práticas Consultivas aprovado pela Portaria Conjunta nº 01, de 2 de dezembro de 2016) </w:t>
      </w:r>
    </w:p>
    <w:p w14:paraId="14172D03" w14:textId="77777777" w:rsidR="00854C77" w:rsidRPr="00DE49C8" w:rsidRDefault="00854C77" w:rsidP="00854C77">
      <w:pPr>
        <w:spacing w:after="0" w:line="240" w:lineRule="auto"/>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w:t>
      </w:r>
    </w:p>
    <w:p w14:paraId="58268B8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Feitas tais ressalvas, passamos à análise estritamente jurídica. </w:t>
      </w:r>
    </w:p>
    <w:p w14:paraId="59C49AA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66DF13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22CC21E0" w14:textId="77777777" w:rsidR="00854C77" w:rsidRPr="00DE49C8" w:rsidRDefault="00854C77" w:rsidP="00854C77">
      <w:pPr>
        <w:spacing w:after="0" w:line="240" w:lineRule="auto"/>
        <w:jc w:val="both"/>
        <w:textAlignment w:val="baseline"/>
        <w:rPr>
          <w:rFonts w:ascii="Times New Roman" w:eastAsia="Times New Roman" w:hAnsi="Times New Roman" w:cs="Times New Roman"/>
          <w:b/>
          <w:bCs/>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DA VEDAÇÃO DA APLICAÇÃO COMBINADA DA LEI N.º 14.133, DE 2021, COM A LEI N.º 8.666, DE 1993, A LEI N.º 10.520, DE 2002, E A LEI N.º 12.462, DE 2011.</w:t>
      </w:r>
    </w:p>
    <w:p w14:paraId="0C3C661F"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04265B47"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4E88661E"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 xml:space="preserve">Não é demais destacar a vedação da aplicação combinada da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14.133, de 2021, com 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8.666, de 1993, 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10.520, de 2022, e 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12.462, de 2011 (art. 191, da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14.133, de 2021, e item 217 do PARECER n. 00002/2021/CNMLC/CGU/AGU, NUP: 00688.000716/2019-43, sequencial 460), como se observa a seguir:</w:t>
      </w:r>
    </w:p>
    <w:p w14:paraId="61C276FF"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7C5BF644" w14:textId="77777777" w:rsidR="00854C77" w:rsidRPr="00DE49C8" w:rsidRDefault="00854C77" w:rsidP="00854C77">
      <w:pPr>
        <w:spacing w:after="0" w:line="240" w:lineRule="auto"/>
        <w:ind w:left="1710"/>
        <w:jc w:val="both"/>
        <w:textAlignment w:val="baseline"/>
        <w:rPr>
          <w:rFonts w:ascii="Times New Roman" w:eastAsia="Times New Roman" w:hAnsi="Times New Roman" w:cs="Times New Roman"/>
          <w:color w:val="000000"/>
          <w:lang w:eastAsia="pt-BR"/>
        </w:rPr>
      </w:pPr>
      <w:r w:rsidRPr="00DE49C8">
        <w:rPr>
          <w:rFonts w:ascii="Times New Roman" w:eastAsia="Times New Roman" w:hAnsi="Times New Roman" w:cs="Times New Roman"/>
          <w:color w:val="000000"/>
          <w:lang w:eastAsia="pt-BR"/>
        </w:rPr>
        <w:t>217. Ante o exposto, conclui-se que: (...) b) a utilização de mesmos detalhamentos normativos para regimes jurídicos distintos, poderá causar tratamento não isonômico dos administrados e incerteza das consequências jurídicas; c) não é possível que os regulamentos editados na égide das Leis nº 8.666/93, nº 10.520/02 e nº 12.462/11 sejam recepcionados pela Lei nº 14.133, de 2021, enquanto todos esses diplomas continuem em vigor, a luz do art. 191, parte final, da Lei nº 14.133/21 - ressalvada a possibilidade de que um novo ato normativo, editado pela autoridade competente, estabeleça expressamente a aplicação de tais regulamentos para a nova legislação</w:t>
      </w:r>
      <w:r>
        <w:rPr>
          <w:rFonts w:ascii="Times New Roman" w:eastAsia="Times New Roman" w:hAnsi="Times New Roman" w:cs="Times New Roman"/>
          <w:color w:val="000000"/>
          <w:lang w:eastAsia="pt-BR"/>
        </w:rPr>
        <w:t xml:space="preserve">. </w:t>
      </w:r>
      <w:r w:rsidRPr="00DE49C8">
        <w:rPr>
          <w:rFonts w:ascii="Times New Roman" w:eastAsia="Times New Roman" w:hAnsi="Times New Roman" w:cs="Times New Roman"/>
          <w:color w:val="000000"/>
          <w:lang w:eastAsia="pt-BR"/>
        </w:rPr>
        <w:t>(PARECER n. 00002/2021/CNMLC/CGU/AGU, NUP: 00688.000716/2019-43, sequencial 460). </w:t>
      </w:r>
    </w:p>
    <w:p w14:paraId="6F03828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4B3E17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FF0000"/>
          <w:sz w:val="24"/>
          <w:szCs w:val="24"/>
          <w:lang w:eastAsia="pt-BR"/>
        </w:rPr>
        <w:t xml:space="preserve">AUTORIZAÇÃO DO </w:t>
      </w:r>
      <w:r w:rsidRPr="003D0716">
        <w:rPr>
          <w:rFonts w:ascii="Times New Roman" w:eastAsia="Times New Roman" w:hAnsi="Times New Roman" w:cs="Times New Roman"/>
          <w:b/>
          <w:bCs/>
          <w:color w:val="FF0000"/>
          <w:sz w:val="24"/>
          <w:szCs w:val="24"/>
          <w:u w:val="single"/>
          <w:lang w:eastAsia="pt-BR"/>
        </w:rPr>
        <w:t>DECRETO Nº 10.193, DE 27 DE DEZEMBRO DE 2019</w:t>
      </w:r>
      <w:r w:rsidRPr="003D0716">
        <w:rPr>
          <w:rFonts w:ascii="Times New Roman" w:eastAsia="Times New Roman" w:hAnsi="Times New Roman" w:cs="Times New Roman"/>
          <w:b/>
          <w:bCs/>
          <w:color w:val="FF0000"/>
          <w:sz w:val="24"/>
          <w:szCs w:val="24"/>
          <w:lang w:eastAsia="pt-BR"/>
        </w:rPr>
        <w:t>, E</w:t>
      </w:r>
      <w:r w:rsidRPr="003D0716">
        <w:rPr>
          <w:rFonts w:ascii="Times New Roman" w:eastAsia="Times New Roman" w:hAnsi="Times New Roman" w:cs="Times New Roman"/>
          <w:b/>
          <w:bCs/>
          <w:sz w:val="24"/>
          <w:szCs w:val="24"/>
          <w:lang w:eastAsia="pt-BR"/>
        </w:rPr>
        <w:t xml:space="preserve"> MANIFESTAÇÃO SOBRE A ESSENCIALIDADE E O INTERESSE PÚBLICO DA RENOVAÇÃO DA PRESENTE CONTRATAÇÃO</w:t>
      </w:r>
      <w:r w:rsidRPr="003D0716">
        <w:rPr>
          <w:rFonts w:ascii="Times New Roman" w:eastAsia="Times New Roman" w:hAnsi="Times New Roman" w:cs="Times New Roman"/>
          <w:sz w:val="24"/>
          <w:szCs w:val="24"/>
          <w:lang w:eastAsia="pt-BR"/>
        </w:rPr>
        <w:t> </w:t>
      </w:r>
    </w:p>
    <w:p w14:paraId="33DC88E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 </w:t>
      </w:r>
    </w:p>
    <w:tbl>
      <w:tblPr>
        <w:tblStyle w:val="Tabelacomgrade"/>
        <w:tblW w:w="0" w:type="auto"/>
        <w:tblLayout w:type="fixed"/>
        <w:tblLook w:val="06A0" w:firstRow="1" w:lastRow="0" w:firstColumn="1" w:lastColumn="0" w:noHBand="1" w:noVBand="1"/>
      </w:tblPr>
      <w:tblGrid>
        <w:gridCol w:w="8490"/>
      </w:tblGrid>
      <w:tr w:rsidR="00854C77" w14:paraId="70F26C62" w14:textId="77777777" w:rsidTr="00871695">
        <w:trPr>
          <w:trHeight w:val="300"/>
        </w:trPr>
        <w:tc>
          <w:tcPr>
            <w:tcW w:w="8490" w:type="dxa"/>
          </w:tcPr>
          <w:p w14:paraId="2E7C4867" w14:textId="77777777" w:rsidR="00854C77" w:rsidRDefault="00854C77" w:rsidP="00871695">
            <w:pPr>
              <w:jc w:val="both"/>
              <w:rPr>
                <w:rFonts w:ascii="Times New Roman" w:eastAsia="Times New Roman" w:hAnsi="Times New Roman" w:cs="Times New Roman"/>
                <w:sz w:val="24"/>
                <w:szCs w:val="24"/>
                <w:highlight w:val="yellow"/>
                <w:lang w:eastAsia="pt-BR"/>
              </w:rPr>
            </w:pPr>
            <w:r w:rsidRPr="109B4C5A">
              <w:rPr>
                <w:rFonts w:ascii="Times New Roman" w:eastAsia="Times New Roman" w:hAnsi="Times New Roman" w:cs="Times New Roman"/>
                <w:b/>
                <w:bCs/>
                <w:i/>
                <w:iCs/>
                <w:color w:val="000000" w:themeColor="text1"/>
                <w:sz w:val="24"/>
                <w:szCs w:val="24"/>
                <w:highlight w:val="yellow"/>
                <w:lang w:eastAsia="pt-BR"/>
              </w:rPr>
              <w:t>Nota Explicativa:</w:t>
            </w:r>
            <w:r w:rsidRPr="109B4C5A">
              <w:rPr>
                <w:rFonts w:ascii="Times New Roman" w:eastAsia="Times New Roman" w:hAnsi="Times New Roman" w:cs="Times New Roman"/>
                <w:color w:val="000000" w:themeColor="text1"/>
                <w:sz w:val="24"/>
                <w:szCs w:val="24"/>
                <w:highlight w:val="yellow"/>
                <w:lang w:eastAsia="pt-BR"/>
              </w:rPr>
              <w:t xml:space="preserve"> As disposições do Decreto n.º 10.193, de 2019, </w:t>
            </w:r>
            <w:r w:rsidRPr="109B4C5A">
              <w:rPr>
                <w:rFonts w:ascii="Times New Roman" w:eastAsia="Times New Roman" w:hAnsi="Times New Roman" w:cs="Times New Roman"/>
                <w:b/>
                <w:bCs/>
                <w:color w:val="000000" w:themeColor="text1"/>
                <w:sz w:val="24"/>
                <w:szCs w:val="24"/>
                <w:highlight w:val="yellow"/>
                <w:lang w:eastAsia="pt-BR"/>
              </w:rPr>
              <w:t>não se aplicam</w:t>
            </w:r>
            <w:r w:rsidRPr="109B4C5A">
              <w:rPr>
                <w:rFonts w:ascii="Times New Roman" w:eastAsia="Times New Roman" w:hAnsi="Times New Roman" w:cs="Times New Roman"/>
                <w:color w:val="000000" w:themeColor="text1"/>
                <w:sz w:val="24"/>
                <w:szCs w:val="24"/>
                <w:highlight w:val="yellow"/>
                <w:lang w:eastAsia="pt-BR"/>
              </w:rPr>
              <w:t xml:space="preserve"> às agências reguladoras, nos termos do art. 1º, parágrafo único, II. </w:t>
            </w:r>
          </w:p>
        </w:tc>
      </w:tr>
    </w:tbl>
    <w:p w14:paraId="1F34EB0F"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4C2A50E0"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FF0000"/>
          <w:sz w:val="24"/>
          <w:szCs w:val="24"/>
          <w:u w:val="single"/>
          <w:lang w:eastAsia="pt-BR"/>
        </w:rPr>
      </w:pPr>
      <w:r w:rsidRPr="109B4C5A">
        <w:rPr>
          <w:rFonts w:ascii="Times New Roman" w:eastAsia="Times New Roman" w:hAnsi="Times New Roman" w:cs="Times New Roman"/>
          <w:color w:val="FF0000"/>
          <w:sz w:val="24"/>
          <w:szCs w:val="24"/>
          <w:lang w:eastAsia="pt-BR"/>
        </w:rPr>
        <w:t xml:space="preserve">Para atividades de custeio, deve a Administração Pública comprovar que foi obtida autorização para a </w:t>
      </w:r>
      <w:r w:rsidRPr="109B4C5A">
        <w:rPr>
          <w:rFonts w:ascii="Times New Roman" w:eastAsia="Times New Roman" w:hAnsi="Times New Roman" w:cs="Times New Roman"/>
          <w:b/>
          <w:bCs/>
          <w:color w:val="FF0000"/>
          <w:sz w:val="24"/>
          <w:szCs w:val="24"/>
          <w:lang w:eastAsia="pt-BR"/>
        </w:rPr>
        <w:t>prorrogação de contrato</w:t>
      </w:r>
      <w:r w:rsidRPr="109B4C5A">
        <w:rPr>
          <w:rFonts w:ascii="Times New Roman" w:eastAsia="Times New Roman" w:hAnsi="Times New Roman" w:cs="Times New Roman"/>
          <w:color w:val="FF0000"/>
          <w:sz w:val="24"/>
          <w:szCs w:val="24"/>
          <w:lang w:eastAsia="pt-BR"/>
        </w:rPr>
        <w:t xml:space="preserve"> prevista no art. 3º do Decreto nº 10.193, de 2019. A </w:t>
      </w:r>
      <w:hyperlink r:id="rId24">
        <w:r w:rsidRPr="109B4C5A">
          <w:rPr>
            <w:rFonts w:ascii="Times New Roman" w:eastAsia="Times New Roman" w:hAnsi="Times New Roman" w:cs="Times New Roman"/>
            <w:color w:val="FF0000"/>
            <w:sz w:val="24"/>
            <w:szCs w:val="24"/>
            <w:lang w:eastAsia="pt-BR"/>
          </w:rPr>
          <w:t>Portaria ME Nº 7.828, de 30 de agosto de 2022</w:t>
        </w:r>
      </w:hyperlink>
      <w:r w:rsidRPr="109B4C5A">
        <w:rPr>
          <w:rFonts w:ascii="Times New Roman" w:eastAsia="Times New Roman" w:hAnsi="Times New Roman" w:cs="Times New Roman"/>
          <w:color w:val="FF0000"/>
          <w:sz w:val="24"/>
          <w:szCs w:val="24"/>
          <w:lang w:eastAsia="pt-BR"/>
        </w:rPr>
        <w:t xml:space="preserve">, estabelece normas complementares para o cumprimento do Decreto nº 10.193, de 2019. </w:t>
      </w:r>
      <w:r w:rsidRPr="109B4C5A">
        <w:rPr>
          <w:rFonts w:ascii="Times New Roman" w:eastAsia="Times New Roman" w:hAnsi="Times New Roman" w:cs="Times New Roman"/>
          <w:b/>
          <w:bCs/>
          <w:color w:val="FF0000"/>
          <w:sz w:val="24"/>
          <w:szCs w:val="24"/>
          <w:lang w:eastAsia="pt-BR"/>
        </w:rPr>
        <w:t>Tal providência deve ser juntada aos autos até antes da assinatura do termo aditivo de prorrogação</w:t>
      </w:r>
      <w:r w:rsidRPr="109B4C5A">
        <w:rPr>
          <w:rFonts w:ascii="Times New Roman" w:eastAsia="Times New Roman" w:hAnsi="Times New Roman" w:cs="Times New Roman"/>
          <w:color w:val="FF0000"/>
          <w:sz w:val="24"/>
          <w:szCs w:val="24"/>
          <w:u w:val="single"/>
          <w:lang w:eastAsia="pt-BR"/>
        </w:rPr>
        <w:t xml:space="preserve"> (Art. 3º, da </w:t>
      </w:r>
      <w:hyperlink r:id="rId25">
        <w:r w:rsidRPr="109B4C5A">
          <w:rPr>
            <w:rFonts w:ascii="Times New Roman" w:eastAsia="Times New Roman" w:hAnsi="Times New Roman" w:cs="Times New Roman"/>
            <w:color w:val="FF0000"/>
            <w:sz w:val="24"/>
            <w:szCs w:val="24"/>
            <w:u w:val="single"/>
            <w:lang w:eastAsia="pt-BR"/>
          </w:rPr>
          <w:t>PORTARIA ME Nº 7.828, de 30 de agosto de 2022</w:t>
        </w:r>
      </w:hyperlink>
      <w:r w:rsidRPr="109B4C5A">
        <w:rPr>
          <w:rFonts w:ascii="Times New Roman" w:eastAsia="Times New Roman" w:hAnsi="Times New Roman" w:cs="Times New Roman"/>
          <w:color w:val="FF0000"/>
          <w:sz w:val="24"/>
          <w:szCs w:val="24"/>
          <w:u w:val="single"/>
          <w:lang w:eastAsia="pt-BR"/>
        </w:rPr>
        <w:t>). </w:t>
      </w:r>
    </w:p>
    <w:p w14:paraId="0E6D849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FF0000"/>
          <w:sz w:val="24"/>
          <w:szCs w:val="24"/>
          <w:lang w:eastAsia="pt-BR"/>
        </w:rPr>
        <w:t xml:space="preserve">Ressalte-se que </w:t>
      </w:r>
      <w:r w:rsidRPr="003D0716">
        <w:rPr>
          <w:rFonts w:ascii="Times New Roman" w:eastAsia="Times New Roman" w:hAnsi="Times New Roman" w:cs="Times New Roman"/>
          <w:color w:val="FF0000"/>
          <w:sz w:val="24"/>
          <w:szCs w:val="24"/>
          <w:u w:val="single"/>
          <w:lang w:eastAsia="pt-BR"/>
        </w:rPr>
        <w:t>a Administração deve certificar-se da obediência às regras internas de competência para autorização</w:t>
      </w:r>
      <w:r w:rsidRPr="003D0716">
        <w:rPr>
          <w:rFonts w:ascii="Times New Roman" w:eastAsia="Times New Roman" w:hAnsi="Times New Roman" w:cs="Times New Roman"/>
          <w:color w:val="FF0000"/>
          <w:sz w:val="24"/>
          <w:szCs w:val="24"/>
          <w:lang w:eastAsia="pt-BR"/>
        </w:rPr>
        <w:t xml:space="preserve"> da presente prorrogação. </w:t>
      </w:r>
    </w:p>
    <w:p w14:paraId="1A840E7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72C9A64" w14:textId="77777777" w:rsidR="00854C77"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A Administração </w:t>
      </w:r>
      <w:r w:rsidRPr="00DE49C8">
        <w:rPr>
          <w:rFonts w:ascii="Times New Roman" w:eastAsia="Times New Roman" w:hAnsi="Times New Roman" w:cs="Times New Roman"/>
          <w:bCs/>
          <w:sz w:val="24"/>
          <w:szCs w:val="24"/>
          <w:u w:val="single"/>
          <w:lang w:eastAsia="pt-BR"/>
        </w:rPr>
        <w:t>deve se manifestar</w:t>
      </w:r>
      <w:r w:rsidRPr="003D0716">
        <w:rPr>
          <w:rFonts w:ascii="Times New Roman" w:eastAsia="Times New Roman" w:hAnsi="Times New Roman" w:cs="Times New Roman"/>
          <w:sz w:val="24"/>
          <w:szCs w:val="24"/>
          <w:lang w:eastAsia="pt-BR"/>
        </w:rPr>
        <w:t xml:space="preserve"> acerca da essencialidade e o interesse público da contratação, para os fins do previsto no art. 3º do </w:t>
      </w:r>
      <w:hyperlink r:id="rId26" w:tgtFrame="_blank" w:history="1">
        <w:r w:rsidRPr="003D0716">
          <w:rPr>
            <w:rFonts w:ascii="Times New Roman" w:eastAsia="Times New Roman" w:hAnsi="Times New Roman" w:cs="Times New Roman"/>
            <w:color w:val="0000FF"/>
            <w:sz w:val="24"/>
            <w:szCs w:val="24"/>
            <w:lang w:eastAsia="pt-BR"/>
          </w:rPr>
          <w:t>Decreto nº 8.540, de 09 de outubro de 2015</w:t>
        </w:r>
      </w:hyperlink>
      <w:r>
        <w:rPr>
          <w:rFonts w:ascii="Times New Roman" w:eastAsia="Times New Roman" w:hAnsi="Times New Roman" w:cs="Times New Roman"/>
          <w:sz w:val="24"/>
          <w:szCs w:val="24"/>
          <w:lang w:eastAsia="pt-BR"/>
        </w:rPr>
        <w:t>.</w:t>
      </w:r>
    </w:p>
    <w:p w14:paraId="652BC50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FFFFFF" w:themeColor="background1"/>
          <w:sz w:val="24"/>
          <w:szCs w:val="24"/>
          <w:lang w:eastAsia="pt-BR"/>
        </w:rPr>
        <w:t>. </w:t>
      </w:r>
    </w:p>
    <w:tbl>
      <w:tblPr>
        <w:tblStyle w:val="Tabelacomgrade"/>
        <w:tblW w:w="0" w:type="auto"/>
        <w:tblLayout w:type="fixed"/>
        <w:tblLook w:val="06A0" w:firstRow="1" w:lastRow="0" w:firstColumn="1" w:lastColumn="0" w:noHBand="1" w:noVBand="1"/>
      </w:tblPr>
      <w:tblGrid>
        <w:gridCol w:w="8490"/>
      </w:tblGrid>
      <w:tr w:rsidR="00854C77" w14:paraId="2F84163B" w14:textId="77777777" w:rsidTr="00871695">
        <w:trPr>
          <w:trHeight w:val="300"/>
        </w:trPr>
        <w:tc>
          <w:tcPr>
            <w:tcW w:w="8490" w:type="dxa"/>
          </w:tcPr>
          <w:p w14:paraId="5B3230B9" w14:textId="77777777" w:rsidR="00854C77" w:rsidRDefault="00854C77" w:rsidP="00871695">
            <w:pPr>
              <w:shd w:val="clear" w:color="auto" w:fill="FFFFCC"/>
              <w:jc w:val="both"/>
              <w:rPr>
                <w:rFonts w:ascii="Times New Roman" w:eastAsia="Times New Roman" w:hAnsi="Times New Roman" w:cs="Times New Roman"/>
                <w:sz w:val="24"/>
                <w:szCs w:val="24"/>
                <w:highlight w:val="yellow"/>
                <w:lang w:eastAsia="pt-BR"/>
              </w:rPr>
            </w:pPr>
            <w:r w:rsidRPr="109B4C5A">
              <w:rPr>
                <w:rFonts w:ascii="Times New Roman" w:eastAsia="Times New Roman" w:hAnsi="Times New Roman" w:cs="Times New Roman"/>
                <w:b/>
                <w:bCs/>
                <w:i/>
                <w:iCs/>
                <w:sz w:val="24"/>
                <w:szCs w:val="24"/>
                <w:highlight w:val="yellow"/>
                <w:lang w:eastAsia="pt-BR"/>
              </w:rPr>
              <w:t>Nota Explicativa:</w:t>
            </w:r>
            <w:r w:rsidRPr="109B4C5A">
              <w:rPr>
                <w:rFonts w:ascii="Times New Roman" w:eastAsia="Times New Roman" w:hAnsi="Times New Roman" w:cs="Times New Roman"/>
                <w:sz w:val="24"/>
                <w:szCs w:val="24"/>
                <w:highlight w:val="yellow"/>
                <w:lang w:eastAsia="pt-BR"/>
              </w:rPr>
              <w:t xml:space="preserve"> O trecho abaixo aplica-se exclusivamente aos órgãos da Administração Federal </w:t>
            </w:r>
            <w:r w:rsidRPr="109B4C5A">
              <w:rPr>
                <w:rFonts w:ascii="Times New Roman" w:eastAsia="Times New Roman" w:hAnsi="Times New Roman" w:cs="Times New Roman"/>
                <w:b/>
                <w:bCs/>
                <w:sz w:val="24"/>
                <w:szCs w:val="24"/>
                <w:highlight w:val="yellow"/>
                <w:lang w:eastAsia="pt-BR"/>
              </w:rPr>
              <w:t>no âmbito do Distrito Federal e entorno</w:t>
            </w:r>
            <w:r w:rsidRPr="109B4C5A">
              <w:rPr>
                <w:rFonts w:ascii="Times New Roman" w:eastAsia="Times New Roman" w:hAnsi="Times New Roman" w:cs="Times New Roman"/>
                <w:sz w:val="24"/>
                <w:szCs w:val="24"/>
                <w:highlight w:val="yellow"/>
                <w:lang w:eastAsia="pt-BR"/>
              </w:rPr>
              <w:t>. </w:t>
            </w:r>
          </w:p>
        </w:tc>
      </w:tr>
    </w:tbl>
    <w:p w14:paraId="795593E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FF0000"/>
          <w:sz w:val="24"/>
          <w:szCs w:val="24"/>
          <w:lang w:eastAsia="pt-BR"/>
        </w:rPr>
        <w:lastRenderedPageBreak/>
        <w:t xml:space="preserve">Caso se trate de licitação para contratar sistema de transporte de servidores, empregados e colaboradores a serviço dos órgãos da Administração Federal no âmbito do Distrito Federal e entorno, deverá ser observado o disposto na </w:t>
      </w:r>
      <w:hyperlink r:id="rId27" w:tgtFrame="_blank" w:history="1">
        <w:r w:rsidRPr="003D0716">
          <w:rPr>
            <w:rFonts w:ascii="Times New Roman" w:eastAsia="Times New Roman" w:hAnsi="Times New Roman" w:cs="Times New Roman"/>
            <w:color w:val="0000FF"/>
            <w:sz w:val="24"/>
            <w:szCs w:val="24"/>
            <w:u w:val="single"/>
            <w:lang w:eastAsia="pt-BR"/>
          </w:rPr>
          <w:t>Portaria nº 6, de 15 de janeiro de 2018</w:t>
        </w:r>
      </w:hyperlink>
      <w:r w:rsidRPr="003D0716">
        <w:rPr>
          <w:rFonts w:ascii="Times New Roman" w:eastAsia="Times New Roman" w:hAnsi="Times New Roman" w:cs="Times New Roman"/>
          <w:color w:val="FF0000"/>
          <w:sz w:val="24"/>
          <w:szCs w:val="24"/>
          <w:lang w:eastAsia="pt-BR"/>
        </w:rPr>
        <w:t>, do então Ministro do Planejamento, Desenvolvimento e Gestão. O ato atribui exclusividade à Central de Compras para realizar procedimentos licitatórios visando à contratação dos referidos serviços, ressalvando as necessidades de transporte relacionadas ao desenvolvimento das atividades finalísticas, institucionais ou de representação e aos transportes aéreo, fluvial e marítimo. </w:t>
      </w:r>
    </w:p>
    <w:p w14:paraId="6318B14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556DED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2B271069">
        <w:rPr>
          <w:rFonts w:ascii="Times New Roman" w:eastAsia="Times New Roman" w:hAnsi="Times New Roman" w:cs="Times New Roman"/>
          <w:color w:val="000000" w:themeColor="text1"/>
          <w:sz w:val="24"/>
          <w:szCs w:val="24"/>
          <w:lang w:eastAsia="pt-BR"/>
        </w:rPr>
        <w:t xml:space="preserve">O atual Ministério da Gestão e Inovação em Serviços Públicos editou diversas portarias para centralizar, suspender ou proibir determinadas contratações; por isso, a Administração, à luz dos normativos vigentes, </w:t>
      </w:r>
      <w:r w:rsidRPr="2B271069">
        <w:rPr>
          <w:rFonts w:ascii="Times New Roman" w:eastAsia="Times New Roman" w:hAnsi="Times New Roman" w:cs="Times New Roman"/>
          <w:color w:val="000000" w:themeColor="text1"/>
          <w:sz w:val="24"/>
          <w:szCs w:val="24"/>
          <w:u w:val="single"/>
          <w:lang w:eastAsia="pt-BR"/>
        </w:rPr>
        <w:t>deve</w:t>
      </w:r>
      <w:r w:rsidRPr="2B271069">
        <w:rPr>
          <w:rFonts w:ascii="Times New Roman" w:eastAsia="Times New Roman" w:hAnsi="Times New Roman" w:cs="Times New Roman"/>
          <w:color w:val="000000" w:themeColor="text1"/>
          <w:sz w:val="24"/>
          <w:szCs w:val="24"/>
          <w:lang w:eastAsia="pt-BR"/>
        </w:rPr>
        <w:t xml:space="preserve"> certificar se o serviço/fornecimento escolhido não está no rol dessas restrições de contratação, a exemplo de: aquisição e locação de imóveis; aquisição de veículos de representação e de serviços comuns; locação de veículos; locação de máquinas e equipamentos; fornecimento de jornais e revistas em meio impresso; e serviços de ascensorista. </w:t>
      </w:r>
    </w:p>
    <w:p w14:paraId="30AEDDD4" w14:textId="77777777" w:rsidR="00854C77" w:rsidRPr="003D0716" w:rsidRDefault="00854C77" w:rsidP="00854C77">
      <w:pPr>
        <w:spacing w:after="0" w:line="240" w:lineRule="auto"/>
        <w:textAlignment w:val="baseline"/>
        <w:rPr>
          <w:rFonts w:ascii="Times New Roman" w:eastAsia="Times New Roman" w:hAnsi="Times New Roman" w:cs="Times New Roman"/>
          <w:b/>
          <w:bCs/>
          <w:sz w:val="24"/>
          <w:szCs w:val="24"/>
          <w:lang w:eastAsia="pt-BR"/>
        </w:rPr>
      </w:pPr>
    </w:p>
    <w:p w14:paraId="3F80E90E" w14:textId="77777777" w:rsidR="00854C77" w:rsidRPr="0035652A" w:rsidRDefault="00854C77" w:rsidP="00854C77">
      <w:pPr>
        <w:spacing w:after="0" w:line="240" w:lineRule="auto"/>
        <w:textAlignment w:val="baseline"/>
        <w:rPr>
          <w:rFonts w:ascii="Times New Roman" w:eastAsia="Times New Roman" w:hAnsi="Times New Roman" w:cs="Times New Roman"/>
          <w:b/>
          <w:bCs/>
          <w:sz w:val="24"/>
          <w:szCs w:val="24"/>
          <w:lang w:eastAsia="pt-BR"/>
        </w:rPr>
      </w:pPr>
      <w:r w:rsidRPr="0035652A">
        <w:rPr>
          <w:rFonts w:ascii="Times New Roman" w:eastAsia="Times New Roman" w:hAnsi="Times New Roman" w:cs="Times New Roman"/>
          <w:b/>
          <w:bCs/>
          <w:sz w:val="24"/>
          <w:szCs w:val="24"/>
          <w:lang w:eastAsia="pt-BR"/>
        </w:rPr>
        <w:t>DA APLICAÇÃO DA IN SEGES/MP nº 05, de 2017</w:t>
      </w:r>
    </w:p>
    <w:p w14:paraId="4F798C2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502E514" w14:textId="77777777" w:rsidR="00854C77" w:rsidRPr="0035652A" w:rsidRDefault="00C9759B" w:rsidP="00854C77">
      <w:pPr>
        <w:spacing w:after="0" w:line="240" w:lineRule="auto"/>
        <w:jc w:val="both"/>
        <w:textAlignment w:val="baseline"/>
        <w:rPr>
          <w:rFonts w:ascii="Times New Roman" w:eastAsia="Times New Roman" w:hAnsi="Times New Roman" w:cs="Times New Roman"/>
          <w:color w:val="000000"/>
          <w:sz w:val="24"/>
          <w:szCs w:val="24"/>
          <w:lang w:eastAsia="pt-BR"/>
        </w:rPr>
      </w:pPr>
      <w:hyperlink r:id="rId28" w:tgtFrame="_blank" w:history="1">
        <w:r w:rsidR="00854C77" w:rsidRPr="003D0716">
          <w:rPr>
            <w:rFonts w:ascii="Times New Roman" w:eastAsia="Times New Roman" w:hAnsi="Times New Roman" w:cs="Times New Roman"/>
            <w:color w:val="000000"/>
            <w:sz w:val="24"/>
            <w:szCs w:val="24"/>
            <w:lang w:eastAsia="pt-BR"/>
          </w:rPr>
          <w:t>A Instrução Normativa SEGES/MP nº 05, de 26 de maio de 2017</w:t>
        </w:r>
      </w:hyperlink>
      <w:r w:rsidR="00854C77" w:rsidRPr="003D0716">
        <w:rPr>
          <w:rFonts w:ascii="Times New Roman" w:eastAsia="Times New Roman" w:hAnsi="Times New Roman" w:cs="Times New Roman"/>
          <w:color w:val="000000"/>
          <w:sz w:val="24"/>
          <w:szCs w:val="24"/>
          <w:lang w:eastAsia="pt-BR"/>
        </w:rPr>
        <w:t xml:space="preserve">, é aplicável, no que couber, aos procedimentos instaurados com vistas a prorrogação contratual nas contratações de serviços continuados, com arrimo na Lei nº 14.133, de 2021, no âmbito da Administração Pública federal direta, autárquica e fundacional, por força da </w:t>
      </w:r>
      <w:hyperlink r:id="rId29" w:tgtFrame="_blank" w:history="1">
        <w:r w:rsidR="00854C77" w:rsidRPr="003D0716">
          <w:rPr>
            <w:rFonts w:ascii="Times New Roman" w:eastAsia="Times New Roman" w:hAnsi="Times New Roman" w:cs="Times New Roman"/>
            <w:color w:val="000000"/>
            <w:sz w:val="24"/>
            <w:szCs w:val="24"/>
            <w:lang w:eastAsia="pt-BR"/>
          </w:rPr>
          <w:t>IN SEGES/ME nº 98, de 26 de dezembro de 2022</w:t>
        </w:r>
      </w:hyperlink>
      <w:r w:rsidR="00854C77" w:rsidRPr="003D0716">
        <w:rPr>
          <w:rFonts w:ascii="Times New Roman" w:eastAsia="Times New Roman" w:hAnsi="Times New Roman" w:cs="Times New Roman"/>
          <w:color w:val="000000"/>
          <w:sz w:val="24"/>
          <w:szCs w:val="24"/>
          <w:lang w:eastAsia="pt-BR"/>
        </w:rPr>
        <w:t xml:space="preserve">. Imperioso, desse modo, que a Administração observe as </w:t>
      </w:r>
      <w:r w:rsidR="00854C77">
        <w:rPr>
          <w:rFonts w:ascii="Times New Roman" w:eastAsia="Times New Roman" w:hAnsi="Times New Roman" w:cs="Times New Roman"/>
          <w:color w:val="000000"/>
          <w:sz w:val="24"/>
          <w:szCs w:val="24"/>
          <w:lang w:eastAsia="pt-BR"/>
        </w:rPr>
        <w:t>respectivas</w:t>
      </w:r>
      <w:r w:rsidR="00854C77" w:rsidRPr="003D0716">
        <w:rPr>
          <w:rFonts w:ascii="Times New Roman" w:eastAsia="Times New Roman" w:hAnsi="Times New Roman" w:cs="Times New Roman"/>
          <w:color w:val="000000"/>
          <w:sz w:val="24"/>
          <w:szCs w:val="24"/>
          <w:lang w:eastAsia="pt-BR"/>
        </w:rPr>
        <w:t xml:space="preserve"> regras e diretrizes, </w:t>
      </w:r>
      <w:r w:rsidR="00854C77" w:rsidRPr="0035652A">
        <w:rPr>
          <w:rFonts w:ascii="Times New Roman" w:eastAsia="Times New Roman" w:hAnsi="Times New Roman" w:cs="Times New Roman"/>
          <w:color w:val="000000"/>
          <w:sz w:val="24"/>
          <w:szCs w:val="24"/>
          <w:lang w:eastAsia="pt-BR"/>
        </w:rPr>
        <w:t>bem como e</w:t>
      </w:r>
      <w:r w:rsidR="00854C77">
        <w:rPr>
          <w:rFonts w:ascii="Times New Roman" w:eastAsia="Times New Roman" w:hAnsi="Times New Roman" w:cs="Times New Roman"/>
          <w:color w:val="000000"/>
          <w:sz w:val="24"/>
          <w:szCs w:val="24"/>
          <w:lang w:eastAsia="pt-BR"/>
        </w:rPr>
        <w:t>steja</w:t>
      </w:r>
      <w:r w:rsidR="00854C77" w:rsidRPr="0035652A">
        <w:rPr>
          <w:rFonts w:ascii="Times New Roman" w:eastAsia="Times New Roman" w:hAnsi="Times New Roman" w:cs="Times New Roman"/>
          <w:color w:val="000000"/>
          <w:sz w:val="24"/>
          <w:szCs w:val="24"/>
          <w:lang w:eastAsia="pt-BR"/>
        </w:rPr>
        <w:t xml:space="preserve"> atenta a</w:t>
      </w:r>
      <w:r w:rsidR="00854C77">
        <w:rPr>
          <w:rFonts w:ascii="Times New Roman" w:eastAsia="Times New Roman" w:hAnsi="Times New Roman" w:cs="Times New Roman"/>
          <w:color w:val="000000"/>
          <w:sz w:val="24"/>
          <w:szCs w:val="24"/>
          <w:lang w:eastAsia="pt-BR"/>
        </w:rPr>
        <w:t>s</w:t>
      </w:r>
      <w:r w:rsidR="00854C77" w:rsidRPr="0035652A">
        <w:rPr>
          <w:rFonts w:ascii="Times New Roman" w:eastAsia="Times New Roman" w:hAnsi="Times New Roman" w:cs="Times New Roman"/>
          <w:color w:val="000000"/>
          <w:sz w:val="24"/>
          <w:szCs w:val="24"/>
          <w:lang w:eastAsia="pt-BR"/>
        </w:rPr>
        <w:t xml:space="preserve"> suas eventuais modificações e atualizações, sendo que</w:t>
      </w:r>
      <w:r w:rsidR="00854C77">
        <w:rPr>
          <w:rFonts w:ascii="Times New Roman" w:eastAsia="Times New Roman" w:hAnsi="Times New Roman" w:cs="Times New Roman"/>
          <w:color w:val="000000"/>
          <w:sz w:val="24"/>
          <w:szCs w:val="24"/>
          <w:lang w:eastAsia="pt-BR"/>
        </w:rPr>
        <w:t>,</w:t>
      </w:r>
      <w:r w:rsidR="00854C77" w:rsidRPr="0035652A">
        <w:rPr>
          <w:rFonts w:ascii="Times New Roman" w:eastAsia="Times New Roman" w:hAnsi="Times New Roman" w:cs="Times New Roman"/>
          <w:color w:val="000000"/>
          <w:sz w:val="24"/>
          <w:szCs w:val="24"/>
          <w:lang w:eastAsia="pt-BR"/>
        </w:rPr>
        <w:t xml:space="preserve"> havendo dúvidas a respeito do alcance das alterações</w:t>
      </w:r>
      <w:r w:rsidR="00854C77">
        <w:rPr>
          <w:rFonts w:ascii="Times New Roman" w:eastAsia="Times New Roman" w:hAnsi="Times New Roman" w:cs="Times New Roman"/>
          <w:color w:val="000000"/>
          <w:sz w:val="24"/>
          <w:szCs w:val="24"/>
          <w:lang w:eastAsia="pt-BR"/>
        </w:rPr>
        <w:t>,</w:t>
      </w:r>
      <w:r w:rsidR="00854C77" w:rsidRPr="0035652A">
        <w:rPr>
          <w:rFonts w:ascii="Times New Roman" w:eastAsia="Times New Roman" w:hAnsi="Times New Roman" w:cs="Times New Roman"/>
          <w:color w:val="000000"/>
          <w:sz w:val="24"/>
          <w:szCs w:val="24"/>
          <w:lang w:eastAsia="pt-BR"/>
        </w:rPr>
        <w:t xml:space="preserve"> o órgão jurídico poderá ser consultado.</w:t>
      </w:r>
      <w:r w:rsidR="00854C77" w:rsidRPr="003D0716">
        <w:rPr>
          <w:rFonts w:ascii="Times New Roman" w:eastAsia="Times New Roman" w:hAnsi="Times New Roman" w:cs="Times New Roman"/>
          <w:color w:val="000000"/>
          <w:sz w:val="24"/>
          <w:szCs w:val="24"/>
          <w:lang w:eastAsia="pt-BR"/>
        </w:rPr>
        <w:t xml:space="preserve">  </w:t>
      </w:r>
    </w:p>
    <w:p w14:paraId="5B1ADE1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0C82B65"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DOS REQUISITOS DA PRORROGAÇÃO</w:t>
      </w:r>
      <w:r w:rsidRPr="003D0716">
        <w:rPr>
          <w:rFonts w:ascii="Times New Roman" w:eastAsia="Times New Roman" w:hAnsi="Times New Roman" w:cs="Times New Roman"/>
          <w:sz w:val="24"/>
          <w:szCs w:val="24"/>
          <w:lang w:eastAsia="pt-BR"/>
        </w:rPr>
        <w:t> </w:t>
      </w:r>
    </w:p>
    <w:p w14:paraId="0A359D4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5DE9F1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Quanto aos requisitos da prorrogação dos contratos, deverão ser cumpridos os delineados abaixo: </w:t>
      </w:r>
    </w:p>
    <w:p w14:paraId="088A962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7AEB9EB"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 xml:space="preserve">a) </w:t>
      </w:r>
      <w:r w:rsidRPr="109B4C5A">
        <w:rPr>
          <w:rFonts w:ascii="Times New Roman" w:eastAsia="Times New Roman" w:hAnsi="Times New Roman" w:cs="Times New Roman"/>
          <w:color w:val="000000" w:themeColor="text1"/>
          <w:sz w:val="24"/>
          <w:szCs w:val="24"/>
          <w:lang w:eastAsia="pt-BR"/>
        </w:rPr>
        <w:t>caracterização do serviço ou fornecimento como contínuo (art. 6º, XV, da Lei nº 14.133, de 2021, e item 3, “a”, do anexo IX da IN SEGES/MP nº 05, de 26 de maio de 2017);  </w:t>
      </w:r>
    </w:p>
    <w:p w14:paraId="151F5A38"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5652A">
        <w:rPr>
          <w:rFonts w:ascii="Times New Roman" w:eastAsia="Times New Roman" w:hAnsi="Times New Roman" w:cs="Times New Roman"/>
          <w:b/>
          <w:color w:val="000000"/>
          <w:sz w:val="24"/>
          <w:szCs w:val="24"/>
          <w:lang w:eastAsia="pt-BR"/>
        </w:rPr>
        <w:t>b)</w:t>
      </w:r>
      <w:r w:rsidRPr="003D0716">
        <w:rPr>
          <w:rFonts w:ascii="Times New Roman" w:eastAsia="Times New Roman" w:hAnsi="Times New Roman" w:cs="Times New Roman"/>
          <w:color w:val="000000"/>
          <w:sz w:val="24"/>
          <w:szCs w:val="24"/>
          <w:lang w:eastAsia="pt-BR"/>
        </w:rPr>
        <w:t xml:space="preserve"> previsão no edital e no contrato administrativo (</w:t>
      </w:r>
      <w:r w:rsidRPr="0035652A">
        <w:rPr>
          <w:rFonts w:ascii="Times New Roman" w:eastAsia="Times New Roman" w:hAnsi="Times New Roman" w:cs="Times New Roman"/>
          <w:color w:val="000000"/>
          <w:sz w:val="24"/>
          <w:szCs w:val="24"/>
          <w:lang w:eastAsia="pt-BR"/>
        </w:rPr>
        <w:t>art. 107 da Lei nº 14.133, de 2021</w:t>
      </w:r>
      <w:r w:rsidRPr="003D0716">
        <w:rPr>
          <w:rFonts w:ascii="Times New Roman" w:eastAsia="Times New Roman" w:hAnsi="Times New Roman" w:cs="Times New Roman"/>
          <w:color w:val="000000"/>
          <w:sz w:val="24"/>
          <w:szCs w:val="24"/>
          <w:lang w:eastAsia="pt-BR"/>
        </w:rPr>
        <w:t>);  </w:t>
      </w:r>
    </w:p>
    <w:p w14:paraId="6ED4D4C2"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c)</w:t>
      </w:r>
      <w:r w:rsidRPr="109B4C5A">
        <w:rPr>
          <w:rFonts w:ascii="Times New Roman" w:eastAsia="Times New Roman" w:hAnsi="Times New Roman" w:cs="Times New Roman"/>
          <w:color w:val="000000" w:themeColor="text1"/>
          <w:sz w:val="24"/>
          <w:szCs w:val="24"/>
          <w:lang w:eastAsia="pt-BR"/>
        </w:rPr>
        <w:t xml:space="preserve"> manifestação do interesse da contratada na prorrogação (item 3, “e”, do anexo IX da IN SEGES/MP nº 05, de 2017); </w:t>
      </w:r>
    </w:p>
    <w:p w14:paraId="75F2FC14"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5652A">
        <w:rPr>
          <w:rFonts w:ascii="Times New Roman" w:eastAsia="Times New Roman" w:hAnsi="Times New Roman" w:cs="Times New Roman"/>
          <w:b/>
          <w:color w:val="000000"/>
          <w:sz w:val="24"/>
          <w:szCs w:val="24"/>
          <w:lang w:eastAsia="pt-BR"/>
        </w:rPr>
        <w:t>d)</w:t>
      </w:r>
      <w:r w:rsidRPr="003D0716">
        <w:rPr>
          <w:rFonts w:ascii="Times New Roman" w:eastAsia="Times New Roman" w:hAnsi="Times New Roman" w:cs="Times New Roman"/>
          <w:color w:val="000000"/>
          <w:sz w:val="24"/>
          <w:szCs w:val="24"/>
          <w:lang w:eastAsia="pt-BR"/>
        </w:rPr>
        <w:t xml:space="preserve"> análise prévia da consultoria jurídica do órgão (art. </w:t>
      </w:r>
      <w:r w:rsidRPr="0035652A">
        <w:rPr>
          <w:rFonts w:ascii="Times New Roman" w:eastAsia="Times New Roman" w:hAnsi="Times New Roman" w:cs="Times New Roman"/>
          <w:color w:val="000000"/>
          <w:sz w:val="24"/>
          <w:szCs w:val="24"/>
          <w:lang w:eastAsia="pt-BR"/>
        </w:rPr>
        <w:t>53, § 4º, da Lei nº 14.133, de 2021</w:t>
      </w:r>
      <w:r w:rsidRPr="003D0716">
        <w:rPr>
          <w:rFonts w:ascii="Times New Roman" w:eastAsia="Times New Roman" w:hAnsi="Times New Roman" w:cs="Times New Roman"/>
          <w:color w:val="000000"/>
          <w:sz w:val="24"/>
          <w:szCs w:val="24"/>
          <w:lang w:eastAsia="pt-BR"/>
        </w:rPr>
        <w:t>); </w:t>
      </w:r>
    </w:p>
    <w:p w14:paraId="05BD70CC"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5652A">
        <w:rPr>
          <w:rFonts w:ascii="Times New Roman" w:eastAsia="Times New Roman" w:hAnsi="Times New Roman" w:cs="Times New Roman"/>
          <w:b/>
          <w:color w:val="000000"/>
          <w:sz w:val="24"/>
          <w:szCs w:val="24"/>
          <w:lang w:eastAsia="pt-BR"/>
        </w:rPr>
        <w:t>e)</w:t>
      </w:r>
      <w:r w:rsidRPr="003D0716">
        <w:rPr>
          <w:rFonts w:ascii="Times New Roman" w:eastAsia="Times New Roman" w:hAnsi="Times New Roman" w:cs="Times New Roman"/>
          <w:color w:val="000000"/>
          <w:sz w:val="24"/>
          <w:szCs w:val="24"/>
          <w:lang w:eastAsia="pt-BR"/>
        </w:rPr>
        <w:t> inexistência de solução de continuidade da vigência da contratação e prorrogação dentro do prazo de vigência contratual (</w:t>
      </w:r>
      <w:proofErr w:type="spellStart"/>
      <w:r w:rsidRPr="0035652A">
        <w:rPr>
          <w:rFonts w:ascii="Times New Roman" w:eastAsia="Times New Roman" w:hAnsi="Times New Roman" w:cs="Times New Roman"/>
          <w:color w:val="000000"/>
          <w:sz w:val="24"/>
          <w:szCs w:val="24"/>
          <w:lang w:eastAsia="pt-BR"/>
        </w:rPr>
        <w:t>arts</w:t>
      </w:r>
      <w:proofErr w:type="spellEnd"/>
      <w:r w:rsidRPr="0035652A">
        <w:rPr>
          <w:rFonts w:ascii="Times New Roman" w:eastAsia="Times New Roman" w:hAnsi="Times New Roman" w:cs="Times New Roman"/>
          <w:color w:val="000000"/>
          <w:sz w:val="24"/>
          <w:szCs w:val="24"/>
          <w:lang w:eastAsia="pt-BR"/>
        </w:rPr>
        <w:t>. 107 e 132 da Lei nº 14.133, de 2021, cláusula de extinção prevista no termo de contrato e Orientação Normativa AGU nº 3, de 1º de abril de 2009</w:t>
      </w:r>
      <w:r w:rsidRPr="003D0716">
        <w:rPr>
          <w:rFonts w:ascii="Times New Roman" w:eastAsia="Times New Roman" w:hAnsi="Times New Roman" w:cs="Times New Roman"/>
          <w:color w:val="000000"/>
          <w:sz w:val="24"/>
          <w:szCs w:val="24"/>
          <w:lang w:eastAsia="pt-BR"/>
        </w:rPr>
        <w:t>); </w:t>
      </w:r>
    </w:p>
    <w:p w14:paraId="4F9CFA6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color w:val="000000" w:themeColor="text1"/>
          <w:sz w:val="24"/>
          <w:szCs w:val="24"/>
          <w:lang w:eastAsia="pt-BR"/>
        </w:rPr>
        <w:t>f)</w:t>
      </w:r>
      <w:r w:rsidRPr="109B4C5A">
        <w:rPr>
          <w:rFonts w:ascii="Times New Roman" w:eastAsia="Times New Roman" w:hAnsi="Times New Roman" w:cs="Times New Roman"/>
          <w:color w:val="000000" w:themeColor="text1"/>
          <w:sz w:val="24"/>
          <w:szCs w:val="24"/>
          <w:lang w:eastAsia="pt-BR"/>
        </w:rPr>
        <w:t xml:space="preserve"> elaboração de relatório sobre a regularidade da execução contratual (item 3, “b”, do anexo IX da IN SEGES/MP nº 05, de 2017); </w:t>
      </w:r>
    </w:p>
    <w:p w14:paraId="543E44E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color w:val="000000" w:themeColor="text1"/>
          <w:sz w:val="24"/>
          <w:szCs w:val="24"/>
          <w:lang w:eastAsia="pt-BR"/>
        </w:rPr>
        <w:t>g)</w:t>
      </w:r>
      <w:r w:rsidRPr="109B4C5A">
        <w:rPr>
          <w:rFonts w:ascii="Times New Roman" w:eastAsia="Times New Roman" w:hAnsi="Times New Roman" w:cs="Times New Roman"/>
          <w:color w:val="000000" w:themeColor="text1"/>
          <w:sz w:val="24"/>
          <w:szCs w:val="24"/>
          <w:lang w:eastAsia="pt-BR"/>
        </w:rPr>
        <w:t xml:space="preserve"> interesse motivado da Administração na continuidade da execução dos serviços (item 3, “c”, do anexo IX da IN SEGES/MP nº 05, de 2017); </w:t>
      </w:r>
    </w:p>
    <w:p w14:paraId="73E596A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color w:val="000000" w:themeColor="text1"/>
          <w:sz w:val="24"/>
          <w:szCs w:val="24"/>
          <w:lang w:eastAsia="pt-BR"/>
        </w:rPr>
        <w:t xml:space="preserve">h) </w:t>
      </w:r>
      <w:r w:rsidRPr="109B4C5A">
        <w:rPr>
          <w:rFonts w:ascii="Times New Roman" w:eastAsia="Times New Roman" w:hAnsi="Times New Roman" w:cs="Times New Roman"/>
          <w:color w:val="000000" w:themeColor="text1"/>
          <w:sz w:val="24"/>
          <w:szCs w:val="24"/>
          <w:lang w:eastAsia="pt-BR"/>
        </w:rPr>
        <w:t>manifestação sobre a vantajosidade da contratação, acompanhada da metodologia adotada (itens 3, “d”, 4, 7 do Anexo IX da IN SEGES/MP nº 05, de 2017); </w:t>
      </w:r>
    </w:p>
    <w:p w14:paraId="49D14482"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i)</w:t>
      </w:r>
      <w:r w:rsidRPr="109B4C5A">
        <w:rPr>
          <w:rFonts w:ascii="Times New Roman" w:eastAsia="Times New Roman" w:hAnsi="Times New Roman" w:cs="Times New Roman"/>
          <w:color w:val="000000" w:themeColor="text1"/>
          <w:sz w:val="24"/>
          <w:szCs w:val="24"/>
          <w:lang w:eastAsia="pt-BR"/>
        </w:rPr>
        <w:t xml:space="preserve"> manutenção das condições exigidas na habilitação (art. 91, §4º, e art. 92, XVI, da Lei nº 14.133, de 2021); </w:t>
      </w:r>
    </w:p>
    <w:p w14:paraId="7C3DFFC5"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lastRenderedPageBreak/>
        <w:t>j)</w:t>
      </w:r>
      <w:r w:rsidRPr="109B4C5A">
        <w:rPr>
          <w:rFonts w:ascii="Times New Roman" w:eastAsia="Times New Roman" w:hAnsi="Times New Roman" w:cs="Times New Roman"/>
          <w:color w:val="000000" w:themeColor="text1"/>
          <w:sz w:val="24"/>
          <w:szCs w:val="24"/>
          <w:lang w:eastAsia="pt-BR"/>
        </w:rPr>
        <w:t xml:space="preserve"> inexistência de suspensão/impedimento/declaração de inidoneidade da empresa ou proibição de contratar com a Administração Pública (art. 91, §4º, e art. 161, da Lei nº 14.133, de 2021, e item 11, letra “b”, do anexo IX da IN SEGES/MP nº 05, de 2017); </w:t>
      </w:r>
    </w:p>
    <w:p w14:paraId="718A32E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5652A">
        <w:rPr>
          <w:rFonts w:ascii="Times New Roman" w:eastAsia="Times New Roman" w:hAnsi="Times New Roman" w:cs="Times New Roman"/>
          <w:color w:val="000000"/>
          <w:sz w:val="24"/>
          <w:szCs w:val="24"/>
          <w:lang w:eastAsia="pt-BR"/>
        </w:rPr>
        <w:t>k)</w:t>
      </w:r>
      <w:r w:rsidRPr="003D0716">
        <w:rPr>
          <w:rFonts w:ascii="Times New Roman" w:eastAsia="Times New Roman" w:hAnsi="Times New Roman" w:cs="Times New Roman"/>
          <w:color w:val="000000"/>
          <w:sz w:val="24"/>
          <w:szCs w:val="24"/>
          <w:lang w:eastAsia="pt-BR"/>
        </w:rPr>
        <w:t xml:space="preserve"> verificação da existência de custos fixos ou variáveis não renováveis já amortizados/pagos (item 9 do anexo IX da IN SEGES/MP nº 05, de 2017); </w:t>
      </w:r>
    </w:p>
    <w:p w14:paraId="5DCEEDED"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l)</w:t>
      </w:r>
      <w:r w:rsidRPr="109B4C5A">
        <w:rPr>
          <w:rFonts w:ascii="Times New Roman" w:eastAsia="Times New Roman" w:hAnsi="Times New Roman" w:cs="Times New Roman"/>
          <w:color w:val="000000" w:themeColor="text1"/>
          <w:sz w:val="24"/>
          <w:szCs w:val="24"/>
          <w:lang w:eastAsia="pt-BR"/>
        </w:rPr>
        <w:t xml:space="preserve"> efetiva disponibilidade orçamentária (art. 106, II, da Lei nº 14.133, de 2021); </w:t>
      </w:r>
    </w:p>
    <w:p w14:paraId="668A979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 xml:space="preserve">m) </w:t>
      </w:r>
      <w:r w:rsidRPr="003D0716">
        <w:rPr>
          <w:rFonts w:ascii="Times New Roman" w:eastAsia="Times New Roman" w:hAnsi="Times New Roman" w:cs="Times New Roman"/>
          <w:color w:val="000000"/>
          <w:sz w:val="24"/>
          <w:szCs w:val="24"/>
          <w:lang w:eastAsia="pt-BR"/>
        </w:rPr>
        <w:t>elaboração da minuta do termo aditivo; </w:t>
      </w:r>
    </w:p>
    <w:p w14:paraId="6DE6EE79"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n)</w:t>
      </w:r>
      <w:r w:rsidRPr="109B4C5A">
        <w:rPr>
          <w:rFonts w:ascii="Times New Roman" w:eastAsia="Times New Roman" w:hAnsi="Times New Roman" w:cs="Times New Roman"/>
          <w:color w:val="000000" w:themeColor="text1"/>
          <w:sz w:val="24"/>
          <w:szCs w:val="24"/>
          <w:lang w:eastAsia="pt-BR"/>
        </w:rPr>
        <w:t xml:space="preserve"> renovação da garantia contratual com a atualização necessária (art. 97, parágrafo único, da Lei nº 14.133, de 2021 c/c subitem 3.1 do anexo VII-F da IN SEGES/MP nº 05, de 2017). Nessa senda, não é demais </w:t>
      </w:r>
      <w:r w:rsidRPr="109B4C5A">
        <w:rPr>
          <w:rFonts w:ascii="Times New Roman" w:eastAsia="Times New Roman" w:hAnsi="Times New Roman" w:cs="Times New Roman"/>
          <w:color w:val="000000" w:themeColor="text1"/>
          <w:sz w:val="24"/>
          <w:szCs w:val="24"/>
          <w:u w:val="single"/>
          <w:lang w:eastAsia="pt-BR"/>
        </w:rPr>
        <w:t>alertar o gestor</w:t>
      </w:r>
      <w:r w:rsidRPr="109B4C5A">
        <w:rPr>
          <w:rFonts w:ascii="Times New Roman" w:eastAsia="Times New Roman" w:hAnsi="Times New Roman" w:cs="Times New Roman"/>
          <w:color w:val="000000" w:themeColor="text1"/>
          <w:sz w:val="24"/>
          <w:szCs w:val="24"/>
          <w:lang w:eastAsia="pt-BR"/>
        </w:rPr>
        <w:t xml:space="preserve"> que "É irregular a aceitação de cartas de fiança fidejussória, de natureza não bancária, como garantia de contrato administrativo, uma vez que não correspondem ao instrumento de fiança bancária (art. 56, § 1º, III, da Lei 8.666, de 1993 e art. 96, § 1º, III, da Lei </w:t>
      </w:r>
      <w:r w:rsidRPr="109B4C5A">
        <w:rPr>
          <w:rFonts w:ascii="Times New Roman" w:eastAsia="Times New Roman" w:hAnsi="Times New Roman" w:cs="Times New Roman"/>
          <w:sz w:val="24"/>
          <w:szCs w:val="24"/>
          <w:lang w:eastAsia="pt-BR"/>
        </w:rPr>
        <w:t xml:space="preserve">n.º </w:t>
      </w:r>
      <w:r w:rsidRPr="109B4C5A">
        <w:rPr>
          <w:rFonts w:ascii="Times New Roman" w:eastAsia="Times New Roman" w:hAnsi="Times New Roman" w:cs="Times New Roman"/>
          <w:color w:val="000000" w:themeColor="text1"/>
          <w:sz w:val="24"/>
          <w:szCs w:val="24"/>
          <w:lang w:eastAsia="pt-BR"/>
        </w:rPr>
        <w:t xml:space="preserve">14.133, de 2021), emitida por banco ou instituição financeira autorizada a operar pelo Banco Central do Brasil." (TCU. </w:t>
      </w:r>
      <w:r w:rsidRPr="109B4C5A">
        <w:rPr>
          <w:rFonts w:ascii="Times New Roman" w:eastAsia="Times New Roman" w:hAnsi="Times New Roman" w:cs="Times New Roman"/>
          <w:b/>
          <w:bCs/>
          <w:color w:val="000000" w:themeColor="text1"/>
          <w:sz w:val="24"/>
          <w:szCs w:val="24"/>
          <w:lang w:eastAsia="pt-BR"/>
        </w:rPr>
        <w:t>Acórdão n. 597/2023</w:t>
      </w:r>
      <w:r w:rsidRPr="109B4C5A">
        <w:rPr>
          <w:rFonts w:ascii="Times New Roman" w:eastAsia="Times New Roman" w:hAnsi="Times New Roman" w:cs="Times New Roman"/>
          <w:color w:val="000000" w:themeColor="text1"/>
          <w:sz w:val="24"/>
          <w:szCs w:val="24"/>
          <w:lang w:eastAsia="pt-BR"/>
        </w:rPr>
        <w:t xml:space="preserve">. Plenário. Representação. Relator Ministro Vital do Rêgo. Boletim de Jurisprudência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441 e Informativo de Licitações e Contratos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456); </w:t>
      </w:r>
    </w:p>
    <w:p w14:paraId="4F5777A4"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b/>
          <w:bCs/>
          <w:color w:val="000000"/>
          <w:sz w:val="24"/>
          <w:szCs w:val="24"/>
          <w:lang w:eastAsia="pt-BR"/>
        </w:rPr>
        <w:t>o)</w:t>
      </w:r>
      <w:r w:rsidRPr="003D0716">
        <w:rPr>
          <w:rFonts w:ascii="Times New Roman" w:eastAsia="Times New Roman" w:hAnsi="Times New Roman" w:cs="Times New Roman"/>
          <w:color w:val="000000"/>
          <w:sz w:val="24"/>
          <w:szCs w:val="24"/>
          <w:lang w:eastAsia="pt-BR"/>
        </w:rPr>
        <w:t xml:space="preserve"> autorização da autoridade competente (</w:t>
      </w:r>
      <w:r w:rsidRPr="0035652A">
        <w:rPr>
          <w:rFonts w:ascii="Times New Roman" w:eastAsia="Times New Roman" w:hAnsi="Times New Roman" w:cs="Times New Roman"/>
          <w:color w:val="000000"/>
          <w:sz w:val="24"/>
          <w:szCs w:val="24"/>
          <w:lang w:eastAsia="pt-BR"/>
        </w:rPr>
        <w:t>item 5 do Anexo IX da IN SEGES/MP nº 05, de 2017);</w:t>
      </w:r>
      <w:r w:rsidRPr="003D0716">
        <w:rPr>
          <w:rFonts w:ascii="Times New Roman" w:eastAsia="Times New Roman" w:hAnsi="Times New Roman" w:cs="Times New Roman"/>
          <w:color w:val="000000"/>
          <w:sz w:val="24"/>
          <w:szCs w:val="24"/>
          <w:lang w:eastAsia="pt-BR"/>
        </w:rPr>
        <w:t> </w:t>
      </w:r>
    </w:p>
    <w:p w14:paraId="6995A6C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color w:val="000000" w:themeColor="text1"/>
          <w:sz w:val="24"/>
          <w:szCs w:val="24"/>
          <w:lang w:eastAsia="pt-BR"/>
        </w:rPr>
        <w:t>p)</w:t>
      </w:r>
      <w:r w:rsidRPr="109B4C5A">
        <w:rPr>
          <w:rFonts w:ascii="Times New Roman" w:eastAsia="Times New Roman" w:hAnsi="Times New Roman" w:cs="Times New Roman"/>
          <w:color w:val="000000" w:themeColor="text1"/>
          <w:sz w:val="24"/>
          <w:szCs w:val="24"/>
          <w:lang w:eastAsia="pt-BR"/>
        </w:rPr>
        <w:t xml:space="preserve"> para atividades de custeio, autorização pelo Ministro da pasta ou respectivo ato de delegação, nos termos do Decreto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10.193, de 2019; </w:t>
      </w:r>
    </w:p>
    <w:p w14:paraId="2D2BA56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q)</w:t>
      </w:r>
      <w:r w:rsidRPr="003D0716">
        <w:rPr>
          <w:rFonts w:ascii="Times New Roman" w:eastAsia="Times New Roman" w:hAnsi="Times New Roman" w:cs="Times New Roman"/>
          <w:sz w:val="24"/>
          <w:szCs w:val="24"/>
          <w:lang w:eastAsia="pt-BR"/>
        </w:rPr>
        <w:t xml:space="preserve"> na hipótese de contratação direta por dispensa ou inexigibilidade de licitação, a manutenção da circunstância que autorizou a contratação direta;  </w:t>
      </w:r>
    </w:p>
    <w:p w14:paraId="7E74AE4A"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b/>
          <w:bCs/>
          <w:color w:val="000000"/>
          <w:sz w:val="24"/>
          <w:szCs w:val="24"/>
          <w:lang w:eastAsia="pt-BR"/>
        </w:rPr>
        <w:t xml:space="preserve">r) </w:t>
      </w:r>
      <w:r w:rsidRPr="00A211C3">
        <w:rPr>
          <w:rFonts w:ascii="Times New Roman" w:eastAsia="Times New Roman" w:hAnsi="Times New Roman" w:cs="Times New Roman"/>
          <w:color w:val="000000"/>
          <w:sz w:val="24"/>
          <w:szCs w:val="24"/>
          <w:lang w:eastAsia="pt-BR"/>
        </w:rPr>
        <w:t>divulgação no Portal Nacional de Contratações Públicas - PNCP (art. 94 da Lei nº 14.133, de 2021), observadas as diretrizes da Lei nº 12.527, de 18 de novembro de 2011 - Lei de Acesso à Informação - e Lei nº 13.079, de 14 de agosto de 2018 - Lei Geral de Proteção de Dados Pessoais.</w:t>
      </w:r>
      <w:r w:rsidRPr="003D0716">
        <w:rPr>
          <w:rFonts w:ascii="Times New Roman" w:eastAsia="Times New Roman" w:hAnsi="Times New Roman" w:cs="Times New Roman"/>
          <w:color w:val="000000"/>
          <w:sz w:val="24"/>
          <w:szCs w:val="24"/>
          <w:lang w:eastAsia="pt-BR"/>
        </w:rPr>
        <w:t> </w:t>
      </w:r>
    </w:p>
    <w:p w14:paraId="5D4F393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353591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NECESSIDADE DE PREVISÃO EXPRESSA DE PRORROGAÇÃO NO EDITAL E ANEXOS</w:t>
      </w:r>
      <w:r w:rsidRPr="003D0716">
        <w:rPr>
          <w:rFonts w:ascii="Times New Roman" w:eastAsia="Times New Roman" w:hAnsi="Times New Roman" w:cs="Times New Roman"/>
          <w:color w:val="000000"/>
          <w:sz w:val="24"/>
          <w:szCs w:val="24"/>
          <w:lang w:eastAsia="pt-BR"/>
        </w:rPr>
        <w:t> </w:t>
      </w:r>
    </w:p>
    <w:p w14:paraId="6F8D73DC"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0A2BB15"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xml:space="preserve">Os contratos de serviços e fornecimentos contínuos poderão ser prorrogados sucessivamente, respeitada a vigência máxima decenal, </w:t>
      </w:r>
      <w:r w:rsidRPr="00A211C3">
        <w:rPr>
          <w:rFonts w:ascii="Times New Roman" w:eastAsia="Times New Roman" w:hAnsi="Times New Roman" w:cs="Times New Roman"/>
          <w:b/>
          <w:color w:val="000000"/>
          <w:sz w:val="24"/>
          <w:szCs w:val="24"/>
          <w:lang w:eastAsia="pt-BR"/>
        </w:rPr>
        <w:t>desde que haja previsão em edital</w:t>
      </w:r>
      <w:r w:rsidRPr="00A211C3">
        <w:rPr>
          <w:rFonts w:ascii="Times New Roman" w:eastAsia="Times New Roman" w:hAnsi="Times New Roman" w:cs="Times New Roman"/>
          <w:color w:val="000000"/>
          <w:sz w:val="24"/>
          <w:szCs w:val="24"/>
          <w:lang w:eastAsia="pt-BR"/>
        </w:rPr>
        <w:t xml:space="preserve"> e que a autoridade competente ateste que as condições e os preços permanecem vantajosos para a Administração, permitida a negociação com o contratado ou a extinção contratual sem ônus para qualquer das partes (art. 107 da Lei nº 14.133, de 2021).</w:t>
      </w:r>
      <w:r w:rsidRPr="003D0716">
        <w:rPr>
          <w:rFonts w:ascii="Times New Roman" w:eastAsia="Times New Roman" w:hAnsi="Times New Roman" w:cs="Times New Roman"/>
          <w:color w:val="000000"/>
          <w:sz w:val="24"/>
          <w:szCs w:val="24"/>
          <w:lang w:eastAsia="pt-BR"/>
        </w:rPr>
        <w:t> </w:t>
      </w:r>
    </w:p>
    <w:p w14:paraId="1DEFC75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2BFC6C7"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xml:space="preserve">Nos casos de omissão no ato convocatório, a lei não autoriza que se proceda a renovação contratual. </w:t>
      </w:r>
      <w:proofErr w:type="spellStart"/>
      <w:r w:rsidRPr="00A211C3">
        <w:rPr>
          <w:rFonts w:ascii="Times New Roman" w:eastAsia="Times New Roman" w:hAnsi="Times New Roman" w:cs="Times New Roman"/>
          <w:color w:val="000000"/>
          <w:sz w:val="24"/>
          <w:szCs w:val="24"/>
          <w:lang w:eastAsia="pt-BR"/>
        </w:rPr>
        <w:t>Justen</w:t>
      </w:r>
      <w:proofErr w:type="spellEnd"/>
      <w:r w:rsidRPr="00A211C3">
        <w:rPr>
          <w:rFonts w:ascii="Times New Roman" w:eastAsia="Times New Roman" w:hAnsi="Times New Roman" w:cs="Times New Roman"/>
          <w:color w:val="000000"/>
          <w:sz w:val="24"/>
          <w:szCs w:val="24"/>
          <w:lang w:eastAsia="pt-BR"/>
        </w:rPr>
        <w:t xml:space="preserve"> Filho (2023, p.1343) explica o dispositivo legal:</w:t>
      </w:r>
    </w:p>
    <w:p w14:paraId="6239762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1771A19"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 xml:space="preserve">A renovação do contrato depende de explícita autorização no ato convocatório. </w:t>
      </w:r>
      <w:r w:rsidRPr="00A211C3">
        <w:rPr>
          <w:rFonts w:ascii="Times New Roman" w:eastAsia="Times New Roman" w:hAnsi="Times New Roman" w:cs="Times New Roman"/>
          <w:b/>
          <w:color w:val="000000"/>
          <w:lang w:eastAsia="pt-BR"/>
        </w:rPr>
        <w:t>A omissão impede a renovação</w:t>
      </w:r>
      <w:r w:rsidRPr="00A211C3">
        <w:rPr>
          <w:rFonts w:ascii="Times New Roman" w:eastAsia="Times New Roman" w:hAnsi="Times New Roman" w:cs="Times New Roman"/>
          <w:color w:val="000000"/>
          <w:lang w:eastAsia="pt-BR"/>
        </w:rPr>
        <w:t>. Essa asserção deriva do princípio da segurança. Não é possível que se instaure a licitação sem explícita previsão acerca do tema. Os eventuais interessados deverão ter plena ciência da possibilidade de prorrogação.  </w:t>
      </w:r>
    </w:p>
    <w:p w14:paraId="6131200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4A76CF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AUTORIZAÇÃO PARA A PRORROGAÇÃO CONTRATUAL</w:t>
      </w:r>
      <w:r w:rsidRPr="003D0716">
        <w:rPr>
          <w:rFonts w:ascii="Times New Roman" w:eastAsia="Times New Roman" w:hAnsi="Times New Roman" w:cs="Times New Roman"/>
          <w:color w:val="000000"/>
          <w:sz w:val="24"/>
          <w:szCs w:val="24"/>
          <w:lang w:eastAsia="pt-BR"/>
        </w:rPr>
        <w:t> </w:t>
      </w:r>
    </w:p>
    <w:p w14:paraId="160B015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F3F2B6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prorrogação contratual de serviços continuados está condicionada a autorização, em atendimento ao </w:t>
      </w:r>
      <w:r w:rsidRPr="00A211C3">
        <w:rPr>
          <w:rFonts w:ascii="Times New Roman" w:eastAsia="Times New Roman" w:hAnsi="Times New Roman" w:cs="Times New Roman"/>
          <w:color w:val="000000"/>
          <w:sz w:val="24"/>
          <w:szCs w:val="24"/>
          <w:lang w:eastAsia="pt-BR"/>
        </w:rPr>
        <w:t>item 5 d</w:t>
      </w:r>
      <w:r>
        <w:rPr>
          <w:rFonts w:ascii="Times New Roman" w:eastAsia="Times New Roman" w:hAnsi="Times New Roman" w:cs="Times New Roman"/>
          <w:color w:val="000000"/>
          <w:sz w:val="24"/>
          <w:szCs w:val="24"/>
          <w:lang w:eastAsia="pt-BR"/>
        </w:rPr>
        <w:t xml:space="preserve">o Anexo IX da IN SEGES/ME nº 05, de </w:t>
      </w:r>
      <w:r w:rsidRPr="00A211C3">
        <w:rPr>
          <w:rFonts w:ascii="Times New Roman" w:eastAsia="Times New Roman" w:hAnsi="Times New Roman" w:cs="Times New Roman"/>
          <w:color w:val="000000"/>
          <w:sz w:val="24"/>
          <w:szCs w:val="24"/>
          <w:lang w:eastAsia="pt-BR"/>
        </w:rPr>
        <w:t>2017</w:t>
      </w:r>
      <w:r w:rsidRPr="003D0716">
        <w:rPr>
          <w:rFonts w:ascii="Times New Roman" w:eastAsia="Times New Roman" w:hAnsi="Times New Roman" w:cs="Times New Roman"/>
          <w:color w:val="000000"/>
          <w:sz w:val="24"/>
          <w:szCs w:val="24"/>
          <w:lang w:eastAsia="pt-BR"/>
        </w:rPr>
        <w:t xml:space="preserve">, o qual dispõe que a prorrogação de prazo deverá ser justificada por escrito e previamente autorizada pela </w:t>
      </w:r>
      <w:r w:rsidRPr="003D0716">
        <w:rPr>
          <w:rFonts w:ascii="Times New Roman" w:eastAsia="Times New Roman" w:hAnsi="Times New Roman" w:cs="Times New Roman"/>
          <w:color w:val="000000"/>
          <w:sz w:val="24"/>
          <w:szCs w:val="24"/>
          <w:lang w:eastAsia="pt-BR"/>
        </w:rPr>
        <w:lastRenderedPageBreak/>
        <w:t>autoridade competente, cuja juntada aos autos deve ser providenciada antes da assinatura do termo aditivo. </w:t>
      </w:r>
    </w:p>
    <w:p w14:paraId="75706B6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4D6151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ANUÊNCIA DA CONTRATADA</w:t>
      </w:r>
      <w:r w:rsidRPr="003D0716">
        <w:rPr>
          <w:rFonts w:ascii="Times New Roman" w:eastAsia="Times New Roman" w:hAnsi="Times New Roman" w:cs="Times New Roman"/>
          <w:color w:val="000000"/>
          <w:sz w:val="24"/>
          <w:szCs w:val="24"/>
          <w:lang w:eastAsia="pt-BR"/>
        </w:rPr>
        <w:t> </w:t>
      </w:r>
    </w:p>
    <w:p w14:paraId="53F484D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6996327"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A prorrogação do prazo de vigência do contrato exige prévia anuência do contratado (IN SEGES/MP nº 05, de 2017, Anexo IX, item 3, “e”). Tendo em vista que a renovação contratual é um negócio jurídico bilateral (JUSTEN FILHO, 2023) e, portanto, decorre de um acordo de vontade das partes, salutar que o contratado manifeste, antecipadamente, de maneira expressa, o desígnio de manter a relação contratual, conforme proposição do ente contratante.</w:t>
      </w:r>
    </w:p>
    <w:p w14:paraId="257DC5B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51671D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u w:val="single"/>
          <w:lang w:eastAsia="pt-BR"/>
        </w:rPr>
        <w:t>Recomenda-se</w:t>
      </w:r>
      <w:r w:rsidRPr="003D0716">
        <w:rPr>
          <w:rFonts w:ascii="Times New Roman" w:eastAsia="Times New Roman" w:hAnsi="Times New Roman" w:cs="Times New Roman"/>
          <w:color w:val="000000"/>
          <w:sz w:val="24"/>
          <w:szCs w:val="24"/>
          <w:lang w:eastAsia="pt-BR"/>
        </w:rPr>
        <w:t>, então, em atendimento à determinação da IN SEGES/MP nº 05, de 2017, que essa anuência conste dos autos previamente, também como medida capaz de viabilizar eventual responsabilização da contratada por prejuízos causados caso não confirme seu interesse, negando, posteriormente, a celebração da avença. </w:t>
      </w:r>
    </w:p>
    <w:p w14:paraId="291B259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17D164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INEXISTÊNCIA DE SOLUÇÃO DA CONTINUIDADE </w:t>
      </w:r>
      <w:r w:rsidRPr="003D0716">
        <w:rPr>
          <w:rFonts w:ascii="Times New Roman" w:eastAsia="Times New Roman" w:hAnsi="Times New Roman" w:cs="Times New Roman"/>
          <w:sz w:val="24"/>
          <w:szCs w:val="24"/>
          <w:lang w:eastAsia="pt-BR"/>
        </w:rPr>
        <w:t> </w:t>
      </w:r>
    </w:p>
    <w:p w14:paraId="06CD4DA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D28FD07"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A Lei nº 14.133, de 2021, dispõe que, em regra, os contratos e seus aditamentos terão forma escrita e serão juntados ao processo (art. 9º, caput). A formalização de termo aditivo ao contrato deve ocorrer antes do término do prazo de vigência contratual originária, pois, extinto o prazo do contrato de prestação de serviços e/ou fornecimento contínuos, sem que tenha havido, em tempo hábil, a sua prorrogação, não é juridicamente possível firmar o termo aditivo.</w:t>
      </w:r>
      <w:r w:rsidRPr="003D0716">
        <w:rPr>
          <w:rFonts w:ascii="Times New Roman" w:eastAsia="Times New Roman" w:hAnsi="Times New Roman" w:cs="Times New Roman"/>
          <w:color w:val="000000"/>
          <w:sz w:val="24"/>
          <w:szCs w:val="24"/>
          <w:lang w:eastAsia="pt-BR"/>
        </w:rPr>
        <w:t>  </w:t>
      </w:r>
    </w:p>
    <w:p w14:paraId="787FA498"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53DA5E1E"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A interpretação acima se coaduna com as disposições da Lei nº 14.133, de 2021, vez que o instrumento do contrato, em regra, é obrigatório (art. 95), sendo nulo o contrato verbal com a Administração, salvo o de pequenas compras ou o de prestação de serviços de pronto pagamento (art. 95, §2º). Além do mais, a formalização do termo aditivo é condição para a execução das obrigações pactuadas no ajuste, de acordo com art. 132 da referida Lei.</w:t>
      </w:r>
    </w:p>
    <w:p w14:paraId="7B598B52"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3542D49B"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Diante de tais considerações, é de se concluir pela obrigatoriedade da formalização tempestiva do termo aditivo com condição para a prorrogação de prazo de vigência.</w:t>
      </w:r>
    </w:p>
    <w:p w14:paraId="5FE3160C"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25D1BF1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Advocacia-Geral da União (AGU), em ato vinculante para seus membros, editou Orientação Normativa AGU nº 03, de 01 de abril de 2009, com a determinação de que os órgãos jurídicos analisem se não há a solução de continuidade da vigência contratual, para fins de verificação deste requisito para possibilidade de prorrogação contratual: </w:t>
      </w:r>
    </w:p>
    <w:p w14:paraId="7A9CFBC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3739EA9"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b/>
          <w:color w:val="000000"/>
          <w:lang w:eastAsia="pt-BR"/>
        </w:rPr>
        <w:t>ON AGU nº 03/2009</w:t>
      </w:r>
      <w:r w:rsidRPr="00A211C3">
        <w:rPr>
          <w:rFonts w:ascii="Times New Roman" w:eastAsia="Times New Roman" w:hAnsi="Times New Roman" w:cs="Times New Roman"/>
          <w:color w:val="000000"/>
          <w:lang w:eastAsia="pt-BR"/>
        </w:rPr>
        <w:t>: Na análise dos processos relativos à prorrogação de prazo, cumpre aos órgãos jurídicos verificar se não há extrapolação do atual prazo de vigência, bem como eventual ocorrência de solução de continuidade nos aditivos precedentes, hipóteses que configuram a extinção do ajuste, impedindo a sua prorrogação. </w:t>
      </w:r>
    </w:p>
    <w:p w14:paraId="359AC164"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109B4C5A">
        <w:rPr>
          <w:rFonts w:ascii="Times New Roman" w:eastAsia="Times New Roman" w:hAnsi="Times New Roman" w:cs="Times New Roman"/>
          <w:color w:val="000000" w:themeColor="text1"/>
          <w:lang w:eastAsia="pt-BR"/>
        </w:rPr>
        <w:t>INDEXAÇÃO: CONTRATO. PRORROGAÇÃO. AJUSTE. VIGÊNCIA. SOLUÇÃO DE CONTINUIDADE. EXTINÇÃO. REFERÊNCIA: art. 57, II, Lei nº 8.666, de 1993; Nota DECOR nº 57/2004-MMV; Acórdãos TCU 211/2008-Plenário e 100/2008-Plenário.  </w:t>
      </w:r>
    </w:p>
    <w:p w14:paraId="0CF9E6E2"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6A1B1F80"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lastRenderedPageBreak/>
        <w:t>Em que pese a ON AGU nº 03, de 2019, tenha sido fundamentada na Lei nº 8.666, de 1993, continua sendo perfeitamente aplicável sob a égide da Lei nº 14.133, de 2021, para serviços e fornecimentos contínuos, haja vista a sua compatibilidade com a nova disciplina legal. </w:t>
      </w:r>
    </w:p>
    <w:p w14:paraId="2D946291"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3096323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manutenção de continuidade na relação contratual, dessa maneira, torna obrigatória a assinatura do termo aditivo dentro do prazo de vigência do contrato, nos termos da ON AGU n. 03, de 2009. Dito de outro modo, a existência do contrato depende da celebração do termo aditivo em data anterior ao termo final da vigência. </w:t>
      </w:r>
    </w:p>
    <w:p w14:paraId="0D10294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00CCB2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Desta feita, </w:t>
      </w:r>
      <w:r w:rsidRPr="00A211C3">
        <w:rPr>
          <w:rFonts w:ascii="Times New Roman" w:eastAsia="Times New Roman" w:hAnsi="Times New Roman" w:cs="Times New Roman"/>
          <w:color w:val="000000"/>
          <w:sz w:val="24"/>
          <w:szCs w:val="24"/>
          <w:u w:val="single"/>
          <w:lang w:eastAsia="pt-BR"/>
        </w:rPr>
        <w:t xml:space="preserve">deverá </w:t>
      </w:r>
      <w:r w:rsidRPr="003D0716">
        <w:rPr>
          <w:rFonts w:ascii="Times New Roman" w:eastAsia="Times New Roman" w:hAnsi="Times New Roman" w:cs="Times New Roman"/>
          <w:color w:val="000000"/>
          <w:sz w:val="24"/>
          <w:szCs w:val="24"/>
          <w:lang w:eastAsia="pt-BR"/>
        </w:rPr>
        <w:t>ser atestado nos autos que todos os eventuais aditivos precedentes foram assinados antes da data de encerramento de suas respectivas vigências, de forma a dar integral cumprimento à ON AGU n. 03, de 2009. </w:t>
      </w:r>
    </w:p>
    <w:p w14:paraId="45DA9E1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EF09D8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contagem da vigência do contrato originário e dos eventuais termos aditivos deve observar o sistema data a data, em caso de inobservância a essa regra, ocorrerá a extinção do ajuste e, por consequência, a impossibilidade da sua renovação (</w:t>
      </w:r>
      <w:r w:rsidRPr="00A211C3">
        <w:rPr>
          <w:rFonts w:ascii="Times New Roman" w:eastAsia="Times New Roman" w:hAnsi="Times New Roman" w:cs="Times New Roman"/>
          <w:color w:val="000000"/>
          <w:sz w:val="24"/>
          <w:szCs w:val="24"/>
          <w:lang w:eastAsia="pt-BR"/>
        </w:rPr>
        <w:t xml:space="preserve">art. 89, </w:t>
      </w:r>
      <w:r w:rsidRPr="00A211C3">
        <w:rPr>
          <w:rFonts w:ascii="Times New Roman" w:eastAsia="Times New Roman" w:hAnsi="Times New Roman" w:cs="Times New Roman"/>
          <w:i/>
          <w:color w:val="000000"/>
          <w:sz w:val="24"/>
          <w:szCs w:val="24"/>
          <w:lang w:eastAsia="pt-BR"/>
        </w:rPr>
        <w:t>caput,</w:t>
      </w:r>
      <w:r w:rsidRPr="00A211C3">
        <w:rPr>
          <w:rFonts w:ascii="Times New Roman" w:eastAsia="Times New Roman" w:hAnsi="Times New Roman" w:cs="Times New Roman"/>
          <w:color w:val="000000"/>
          <w:sz w:val="24"/>
          <w:szCs w:val="24"/>
          <w:lang w:eastAsia="pt-BR"/>
        </w:rPr>
        <w:t xml:space="preserve"> da Lei nº 14.133, de 2021</w:t>
      </w:r>
      <w:r w:rsidRPr="003D0716">
        <w:rPr>
          <w:rFonts w:ascii="Times New Roman" w:eastAsia="Times New Roman" w:hAnsi="Times New Roman" w:cs="Times New Roman"/>
          <w:color w:val="000000"/>
          <w:sz w:val="24"/>
          <w:szCs w:val="24"/>
          <w:lang w:eastAsia="pt-BR"/>
        </w:rPr>
        <w:t>, art. 132 do Código Civil e Conclusão DEPCONSU/PGF/AGU nº 69/2014), de acordo com o Enunciado PGF nº 142: </w:t>
      </w:r>
    </w:p>
    <w:p w14:paraId="1FD8C3A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59D59AC7"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142 LICITAÇÕES </w:t>
      </w:r>
    </w:p>
    <w:p w14:paraId="729FB355"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A contagem dos prazos contratuais em meses e anos deve se pautar pelo sistema data-a-data, conforme o § 3º do artigo 132 do Código Civil.  </w:t>
      </w:r>
    </w:p>
    <w:p w14:paraId="73AFCB6C"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Fonte: Parecer n. 00006/2014/CPLC/DEPCONSU/PGF/AGU; Parecer n. 0345/PGF/RMP/2010. NUP 00407.000072/2020-36 (Seq. 28 e 98). </w:t>
      </w:r>
    </w:p>
    <w:p w14:paraId="3A1BDEB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A3B6B9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OBSERVÂNCIA DA VIGÊNCIA CONTRATUAL MÁXIMA DE 10 (DEZ) ANOS </w:t>
      </w:r>
      <w:r w:rsidRPr="003D0716">
        <w:rPr>
          <w:rFonts w:ascii="Times New Roman" w:eastAsia="Times New Roman" w:hAnsi="Times New Roman" w:cs="Times New Roman"/>
          <w:color w:val="000000"/>
          <w:sz w:val="24"/>
          <w:szCs w:val="24"/>
          <w:lang w:eastAsia="pt-BR"/>
        </w:rPr>
        <w:t> </w:t>
      </w:r>
    </w:p>
    <w:p w14:paraId="349B75A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AFD0319"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De acordo com o art. 107 da Lei nº 14.133, 2021, uma vez previsto no edital, os contratos administrativos de serviços </w:t>
      </w:r>
      <w:r w:rsidRPr="00A211C3">
        <w:rPr>
          <w:rFonts w:ascii="Times New Roman" w:eastAsia="Times New Roman" w:hAnsi="Times New Roman" w:cs="Times New Roman"/>
          <w:color w:val="000000"/>
          <w:sz w:val="24"/>
          <w:szCs w:val="24"/>
          <w:lang w:eastAsia="pt-BR"/>
        </w:rPr>
        <w:t>e fornecimentos</w:t>
      </w:r>
      <w:r w:rsidRPr="003D0716">
        <w:rPr>
          <w:rFonts w:ascii="Times New Roman" w:eastAsia="Times New Roman" w:hAnsi="Times New Roman" w:cs="Times New Roman"/>
          <w:color w:val="000000"/>
          <w:sz w:val="24"/>
          <w:szCs w:val="24"/>
          <w:lang w:eastAsia="pt-BR"/>
        </w:rPr>
        <w:t xml:space="preserve"> contínuos podem ser prorrogados, sucessivamente, limitada a vigência contratual máxima de 10 (dez) anos, contanto que as condições e os preços permaneçam vantajosos para a Administração. </w:t>
      </w:r>
    </w:p>
    <w:p w14:paraId="676CACD9"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4F2FE7B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O art. 106 da Lei nº 14.133, de 2021, por sua vez, dispõe que a Administração poderá celebrar contratos com prazo inicial de 05 (cinco) anos nas hipóteses de serviços </w:t>
      </w:r>
      <w:r w:rsidRPr="00A211C3">
        <w:rPr>
          <w:rFonts w:ascii="Times New Roman" w:eastAsia="Times New Roman" w:hAnsi="Times New Roman" w:cs="Times New Roman"/>
          <w:color w:val="000000"/>
          <w:sz w:val="24"/>
          <w:szCs w:val="24"/>
          <w:lang w:eastAsia="pt-BR"/>
        </w:rPr>
        <w:t>e fornecimentos</w:t>
      </w:r>
      <w:r w:rsidRPr="003D0716">
        <w:rPr>
          <w:rFonts w:ascii="Times New Roman" w:eastAsia="Times New Roman" w:hAnsi="Times New Roman" w:cs="Times New Roman"/>
          <w:color w:val="000000"/>
          <w:sz w:val="24"/>
          <w:szCs w:val="24"/>
          <w:lang w:eastAsia="pt-BR"/>
        </w:rPr>
        <w:t xml:space="preserve"> contínuos, para tanto devem seguir as diretivas procedimentais encartadas nos incisos do referido dispositivo legal, quais sejam:  </w:t>
      </w:r>
    </w:p>
    <w:p w14:paraId="7BD8F3A6"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p>
    <w:p w14:paraId="4D0832E5"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i) a autoridade competente da entidade contratante deverá atestar a maior vantagem econômica vislumbrada em razão da contratação plurianual;  </w:t>
      </w:r>
    </w:p>
    <w:p w14:paraId="4E956451"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proofErr w:type="spellStart"/>
      <w:r w:rsidRPr="003D0716">
        <w:rPr>
          <w:rFonts w:ascii="Times New Roman" w:eastAsia="Times New Roman" w:hAnsi="Times New Roman" w:cs="Times New Roman"/>
          <w:color w:val="000000"/>
          <w:sz w:val="24"/>
          <w:szCs w:val="24"/>
          <w:lang w:eastAsia="pt-BR"/>
        </w:rPr>
        <w:t>ii</w:t>
      </w:r>
      <w:proofErr w:type="spellEnd"/>
      <w:r w:rsidRPr="003D0716">
        <w:rPr>
          <w:rFonts w:ascii="Times New Roman" w:eastAsia="Times New Roman" w:hAnsi="Times New Roman" w:cs="Times New Roman"/>
          <w:color w:val="000000"/>
          <w:sz w:val="24"/>
          <w:szCs w:val="24"/>
          <w:lang w:eastAsia="pt-BR"/>
        </w:rPr>
        <w:t>) a Administração deverá atestar, no início da contratação e de cada exercício, a existência de créditos orçamentários vinculados à contratação e a vantagem em sua manutenção e;  </w:t>
      </w:r>
    </w:p>
    <w:p w14:paraId="54364B32"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proofErr w:type="spellStart"/>
      <w:r w:rsidRPr="003D0716">
        <w:rPr>
          <w:rFonts w:ascii="Times New Roman" w:eastAsia="Times New Roman" w:hAnsi="Times New Roman" w:cs="Times New Roman"/>
          <w:color w:val="000000"/>
          <w:sz w:val="24"/>
          <w:szCs w:val="24"/>
          <w:lang w:eastAsia="pt-BR"/>
        </w:rPr>
        <w:t>iii</w:t>
      </w:r>
      <w:proofErr w:type="spellEnd"/>
      <w:r w:rsidRPr="003D0716">
        <w:rPr>
          <w:rFonts w:ascii="Times New Roman" w:eastAsia="Times New Roman" w:hAnsi="Times New Roman" w:cs="Times New Roman"/>
          <w:color w:val="000000"/>
          <w:sz w:val="24"/>
          <w:szCs w:val="24"/>
          <w:lang w:eastAsia="pt-BR"/>
        </w:rPr>
        <w:t>) a Administração terá a opção de extinguir o contrato, sem ônus, quando não dispuser de créditos orçamentários para sua continuidade ou quando entender que o contrato não mais lhe oferece vantagem. </w:t>
      </w:r>
    </w:p>
    <w:p w14:paraId="41EF99DA"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FEE0E1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xml:space="preserve">Primeiro ponto que merece destaque é a autorização legislativa expressa para que a Administração, conforme motivação de ordem econômica, efetivamente atestadas pelo setor técnico responsável da entidade licitante, possa fixar, nos casos de serviços e fornecimento contínuos, a vigência contratual que exorbite o exercício financeiro, observando o limite </w:t>
      </w:r>
      <w:r w:rsidRPr="109B4C5A">
        <w:rPr>
          <w:rFonts w:ascii="Times New Roman" w:eastAsia="Times New Roman" w:hAnsi="Times New Roman" w:cs="Times New Roman"/>
          <w:color w:val="000000" w:themeColor="text1"/>
          <w:sz w:val="24"/>
          <w:szCs w:val="24"/>
          <w:lang w:eastAsia="pt-BR"/>
        </w:rPr>
        <w:lastRenderedPageBreak/>
        <w:t xml:space="preserve">máximo de 05 (cinco) anos. O Administrador, todavia, está adstrito as normas de direito financeiro; portanto, não deve se descuidar do dever legal (art. 106, II, da Lei nº 14.133, de 2021) de atestar a existência de créditos orçamentários, a cada exercício financeiro subsequente à contratação, para suportar as despesas decorrentes da contratação plurianual. Exigência imposta, igualmente, pelo art. 60 e 61 da </w:t>
      </w:r>
      <w:hyperlink r:id="rId30">
        <w:r w:rsidRPr="109B4C5A">
          <w:rPr>
            <w:rFonts w:ascii="Times New Roman" w:eastAsia="Times New Roman" w:hAnsi="Times New Roman" w:cs="Times New Roman"/>
            <w:color w:val="0000FF"/>
            <w:sz w:val="24"/>
            <w:szCs w:val="24"/>
            <w:u w:val="single"/>
            <w:lang w:eastAsia="pt-BR"/>
          </w:rPr>
          <w:t>Lei nº 4.320, de 17 de março de 1964.</w:t>
        </w:r>
      </w:hyperlink>
      <w:r w:rsidRPr="109B4C5A">
        <w:rPr>
          <w:rFonts w:ascii="Times New Roman" w:eastAsia="Times New Roman" w:hAnsi="Times New Roman" w:cs="Times New Roman"/>
          <w:color w:val="000000" w:themeColor="text1"/>
          <w:sz w:val="24"/>
          <w:szCs w:val="24"/>
          <w:lang w:eastAsia="pt-BR"/>
        </w:rPr>
        <w:t> </w:t>
      </w:r>
    </w:p>
    <w:p w14:paraId="0AA0918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CFADE5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Em resumo, nos contratos de serviços </w:t>
      </w:r>
      <w:r w:rsidRPr="00A211C3">
        <w:rPr>
          <w:rFonts w:ascii="Times New Roman" w:eastAsia="Times New Roman" w:hAnsi="Times New Roman" w:cs="Times New Roman"/>
          <w:color w:val="000000"/>
          <w:sz w:val="24"/>
          <w:szCs w:val="24"/>
          <w:lang w:eastAsia="pt-BR"/>
        </w:rPr>
        <w:t>e fornecimentos</w:t>
      </w:r>
      <w:r w:rsidRPr="003D0716">
        <w:rPr>
          <w:rFonts w:ascii="Times New Roman" w:eastAsia="Times New Roman" w:hAnsi="Times New Roman" w:cs="Times New Roman"/>
          <w:color w:val="000000"/>
          <w:sz w:val="24"/>
          <w:szCs w:val="24"/>
          <w:lang w:eastAsia="pt-BR"/>
        </w:rPr>
        <w:t xml:space="preserve"> continuados, a Lei nº 14.133, de 2021, autoriza (art. 106) a fixação da vigência contratual por período superior ao exercício financeiro, limitado ao prazo máximo de 05 (cinco) anos, bem como permite (art. 107) a dilação do prazo fixado originalmente até o limite total de 10 (dez) anos de vigência, condicionado a comprovação de que essa medida é proveitosa.  </w:t>
      </w:r>
    </w:p>
    <w:p w14:paraId="4F2FF58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DEB6B5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No caso da prorrogação da vigência do contrato, exige-se que a autoridade ateste que as condições e preços permanecem vantajosos para a Administração, sendo que, tais condições poderão ser decorrentes de negociação com o contratado. </w:t>
      </w:r>
    </w:p>
    <w:p w14:paraId="4B831D3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00048AA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Desta feita, deverá ser atestad</w:t>
      </w:r>
      <w:r w:rsidRPr="003D0716">
        <w:rPr>
          <w:rFonts w:ascii="Times New Roman" w:eastAsia="Times New Roman" w:hAnsi="Times New Roman" w:cs="Times New Roman"/>
          <w:color w:val="000000"/>
          <w:sz w:val="24"/>
          <w:szCs w:val="24"/>
          <w:lang w:eastAsia="pt-BR"/>
        </w:rPr>
        <w:t>o nos autos que a vigência do contrato não ultrapassará o limite máximo de 10 (dez) anos, isto é, que as possibilidades de prorrogações não estão superadas. </w:t>
      </w:r>
    </w:p>
    <w:p w14:paraId="4947903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59756C1F"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DO RELATÓRIO DA FISCALIZAÇÃO</w:t>
      </w:r>
      <w:r w:rsidRPr="003D0716">
        <w:rPr>
          <w:rFonts w:ascii="Times New Roman" w:eastAsia="Times New Roman" w:hAnsi="Times New Roman" w:cs="Times New Roman"/>
          <w:sz w:val="24"/>
          <w:szCs w:val="24"/>
          <w:lang w:eastAsia="pt-BR"/>
        </w:rPr>
        <w:t> </w:t>
      </w:r>
    </w:p>
    <w:p w14:paraId="08C1C18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C2ADB0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A211C3">
        <w:rPr>
          <w:rFonts w:ascii="Times New Roman" w:eastAsia="Times New Roman" w:hAnsi="Times New Roman" w:cs="Times New Roman"/>
          <w:sz w:val="24"/>
          <w:szCs w:val="24"/>
          <w:lang w:eastAsia="pt-BR"/>
        </w:rPr>
        <w:t>De acordo com o art. 117 da Lei nº 14.133, de 2021, a execução do contrato deverá ser acompanhada e fiscalizada por agente público devidamente nomeado, conforme disposição do art. 7º da Lei nº 14.133, de 2021. Além do mais, o art. 171 da referida Lei impõe ao(s) fiscal(ais) a adoção de procedimentos objetivos e imparciais e elaboração de relatórios tecnicamente fundamentados com vistas ao acompanhamento eficiente da atividade do contratado e a respectiva vigilância quanto ao cumprimento das respectivas obrigações contratuais.</w:t>
      </w:r>
      <w:r w:rsidRPr="003D0716">
        <w:rPr>
          <w:rFonts w:ascii="Times New Roman" w:eastAsia="Times New Roman" w:hAnsi="Times New Roman" w:cs="Times New Roman"/>
          <w:sz w:val="24"/>
          <w:szCs w:val="24"/>
          <w:lang w:eastAsia="pt-BR"/>
        </w:rPr>
        <w:t> </w:t>
      </w:r>
    </w:p>
    <w:p w14:paraId="632038E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633248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No que se refere ao procedimento com vistas à prorrogação da vigência do contrato, exige-se a apresentação de relatório específico que discorra sobre a execução do contrato, com informações de que os serviços tenham sido prestados regularmente (IN SEGES/MP nº 05, de 2017, Anexo IX, item 3, letra “b” e art. 171, II, da Lei nº 14.133, de 2021). </w:t>
      </w:r>
    </w:p>
    <w:p w14:paraId="530DDEA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623BE0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Tratando-se de </w:t>
      </w:r>
      <w:r w:rsidRPr="003D0716">
        <w:rPr>
          <w:rFonts w:ascii="Times New Roman" w:eastAsia="Times New Roman" w:hAnsi="Times New Roman" w:cs="Times New Roman"/>
          <w:b/>
          <w:bCs/>
          <w:color w:val="000000"/>
          <w:sz w:val="24"/>
          <w:szCs w:val="24"/>
          <w:lang w:eastAsia="pt-BR"/>
        </w:rPr>
        <w:t>contratações de serviços prestados com dedicação exclusiva de mão de obra</w:t>
      </w:r>
      <w:r w:rsidRPr="003D0716">
        <w:rPr>
          <w:rFonts w:ascii="Times New Roman" w:eastAsia="Times New Roman" w:hAnsi="Times New Roman" w:cs="Times New Roman"/>
          <w:color w:val="000000"/>
          <w:sz w:val="24"/>
          <w:szCs w:val="24"/>
          <w:lang w:eastAsia="pt-BR"/>
        </w:rPr>
        <w:t>, o Relatório deverá, adicionalmente, contemplar análise específica e pormenorizada acerca do cumprimento das obrigações trabalhistas, previdenciárias e de recolhimento do FGTS, detalhando de forma objetiva eventuais inadimplementos, com propósito de subsidiar a autoridade competente quanto à decisão sobre interesse na prorrogação da vigência contratual.  </w:t>
      </w:r>
    </w:p>
    <w:p w14:paraId="343DFB1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8D5A3E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xml:space="preserve">Além disso, identificada inadimplência para com obrigações trabalhistas, previdenciárias e de recolhimento do FGTS, os créditos da contratada deverão ser retidos e adotadas as providências para operacionalização do pagamento direto das verbas devidas aos empregados na forma do §2º, art. 8º, do </w:t>
      </w:r>
      <w:hyperlink r:id="rId31">
        <w:r w:rsidRPr="109B4C5A">
          <w:rPr>
            <w:rFonts w:ascii="Times New Roman" w:eastAsia="Times New Roman" w:hAnsi="Times New Roman" w:cs="Times New Roman"/>
            <w:color w:val="0000FF"/>
            <w:sz w:val="24"/>
            <w:szCs w:val="24"/>
            <w:u w:val="single"/>
            <w:lang w:eastAsia="pt-BR"/>
          </w:rPr>
          <w:t>Decreto n. 9.507, de 21 de setembro de 2018</w:t>
        </w:r>
      </w:hyperlink>
      <w:r w:rsidRPr="109B4C5A">
        <w:rPr>
          <w:rFonts w:ascii="Times New Roman" w:eastAsia="Times New Roman" w:hAnsi="Times New Roman" w:cs="Times New Roman"/>
          <w:color w:val="000000" w:themeColor="text1"/>
          <w:sz w:val="24"/>
          <w:szCs w:val="24"/>
          <w:lang w:eastAsia="pt-BR"/>
        </w:rPr>
        <w:t>.  </w:t>
      </w:r>
    </w:p>
    <w:p w14:paraId="46FE926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F42D14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xml:space="preserve">A Administração deve atentar, ainda, para a possibilidade de retenção dos créditos conforme autorização constante do termo de referência e contrato e pelos </w:t>
      </w:r>
      <w:proofErr w:type="spellStart"/>
      <w:r w:rsidRPr="109B4C5A">
        <w:rPr>
          <w:rFonts w:ascii="Times New Roman" w:eastAsia="Times New Roman" w:hAnsi="Times New Roman" w:cs="Times New Roman"/>
          <w:color w:val="000000" w:themeColor="text1"/>
          <w:sz w:val="24"/>
          <w:szCs w:val="24"/>
          <w:lang w:eastAsia="pt-BR"/>
        </w:rPr>
        <w:t>arts</w:t>
      </w:r>
      <w:proofErr w:type="spellEnd"/>
      <w:r w:rsidRPr="109B4C5A">
        <w:rPr>
          <w:rFonts w:ascii="Times New Roman" w:eastAsia="Times New Roman" w:hAnsi="Times New Roman" w:cs="Times New Roman"/>
          <w:color w:val="000000" w:themeColor="text1"/>
          <w:sz w:val="24"/>
          <w:szCs w:val="24"/>
          <w:lang w:eastAsia="pt-BR"/>
        </w:rPr>
        <w:t>. 139, IV, e 156, §8º, ambos da Lei nº 14.133, de 2021, com observância das diretrizes procedimentais previsto no art. 66 da IN SEGES/MP nº 05, de 2017. </w:t>
      </w:r>
    </w:p>
    <w:p w14:paraId="31629D0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F2EFD6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lastRenderedPageBreak/>
        <w:t>DA VANTAJOSIDADE DAS CONDIÇÕES CONTRATUAIS</w:t>
      </w:r>
      <w:r w:rsidRPr="003D0716">
        <w:rPr>
          <w:rFonts w:ascii="Times New Roman" w:eastAsia="Times New Roman" w:hAnsi="Times New Roman" w:cs="Times New Roman"/>
          <w:sz w:val="24"/>
          <w:szCs w:val="24"/>
          <w:lang w:eastAsia="pt-BR"/>
        </w:rPr>
        <w:t> </w:t>
      </w:r>
    </w:p>
    <w:p w14:paraId="38BBDC1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9F73460"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A prorrogação do prazo de vigência do contrato administrativo de serviço </w:t>
      </w:r>
      <w:r w:rsidRPr="00A211C3">
        <w:rPr>
          <w:rFonts w:ascii="Times New Roman" w:eastAsia="Times New Roman" w:hAnsi="Times New Roman" w:cs="Times New Roman"/>
          <w:color w:val="000000"/>
          <w:sz w:val="24"/>
          <w:szCs w:val="24"/>
          <w:lang w:eastAsia="pt-BR"/>
        </w:rPr>
        <w:t>e fornecimento</w:t>
      </w:r>
      <w:r w:rsidRPr="003D0716">
        <w:rPr>
          <w:rFonts w:ascii="Times New Roman" w:eastAsia="Times New Roman" w:hAnsi="Times New Roman" w:cs="Times New Roman"/>
          <w:color w:val="000000"/>
          <w:sz w:val="24"/>
          <w:szCs w:val="24"/>
          <w:lang w:eastAsia="pt-BR"/>
        </w:rPr>
        <w:t xml:space="preserve"> contínuo deve ser motivada pelas condições favoráveis ajustadas pela Administração, as quais comprovem a vantajosidade da renovação em comparação com a celebração de um novo pacto (</w:t>
      </w:r>
      <w:r w:rsidRPr="00A211C3">
        <w:rPr>
          <w:rFonts w:ascii="Times New Roman" w:eastAsia="Times New Roman" w:hAnsi="Times New Roman" w:cs="Times New Roman"/>
          <w:color w:val="000000"/>
          <w:sz w:val="24"/>
          <w:szCs w:val="24"/>
          <w:lang w:eastAsia="pt-BR"/>
        </w:rPr>
        <w:t>art. 107, da Lei nº 14.133, de 2021</w:t>
      </w:r>
      <w:r w:rsidRPr="003D0716">
        <w:rPr>
          <w:rFonts w:ascii="Times New Roman" w:eastAsia="Times New Roman" w:hAnsi="Times New Roman" w:cs="Times New Roman"/>
          <w:color w:val="000000"/>
          <w:sz w:val="24"/>
          <w:szCs w:val="24"/>
          <w:lang w:eastAsia="pt-BR"/>
        </w:rPr>
        <w:t>).  </w:t>
      </w:r>
    </w:p>
    <w:p w14:paraId="3BA10E6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2CB37DB6"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xml:space="preserve">Segundo </w:t>
      </w:r>
      <w:proofErr w:type="spellStart"/>
      <w:r w:rsidRPr="00A211C3">
        <w:rPr>
          <w:rFonts w:ascii="Times New Roman" w:eastAsia="Times New Roman" w:hAnsi="Times New Roman" w:cs="Times New Roman"/>
          <w:color w:val="000000"/>
          <w:sz w:val="24"/>
          <w:szCs w:val="24"/>
          <w:lang w:eastAsia="pt-BR"/>
        </w:rPr>
        <w:t>Justen</w:t>
      </w:r>
      <w:proofErr w:type="spellEnd"/>
      <w:r w:rsidRPr="00A211C3">
        <w:rPr>
          <w:rFonts w:ascii="Times New Roman" w:eastAsia="Times New Roman" w:hAnsi="Times New Roman" w:cs="Times New Roman"/>
          <w:color w:val="000000"/>
          <w:sz w:val="24"/>
          <w:szCs w:val="24"/>
          <w:lang w:eastAsia="pt-BR"/>
        </w:rPr>
        <w:t xml:space="preserve"> Filho (2023, p.1344): “A decisão de promover a prorrogação deve ser antecedida de pesquisa de preços no mercado e de comparação entre as condições pactuadas e aquelas praticadas por terceiros, para verificar se as condições fixadas continuam a se configurar como as mais vantajosas”.</w:t>
      </w:r>
      <w:r w:rsidRPr="003D0716">
        <w:rPr>
          <w:rFonts w:ascii="Times New Roman" w:eastAsia="Times New Roman" w:hAnsi="Times New Roman" w:cs="Times New Roman"/>
          <w:color w:val="000000"/>
          <w:sz w:val="24"/>
          <w:szCs w:val="24"/>
          <w:lang w:eastAsia="pt-BR"/>
        </w:rPr>
        <w:t>  </w:t>
      </w:r>
    </w:p>
    <w:p w14:paraId="7CEA6A3B"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47FA65B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Administração </w:t>
      </w:r>
      <w:r w:rsidRPr="00A211C3">
        <w:rPr>
          <w:rFonts w:ascii="Times New Roman" w:eastAsia="Times New Roman" w:hAnsi="Times New Roman" w:cs="Times New Roman"/>
          <w:color w:val="000000"/>
          <w:sz w:val="24"/>
          <w:szCs w:val="24"/>
          <w:lang w:eastAsia="pt-BR"/>
        </w:rPr>
        <w:t>deve</w:t>
      </w:r>
      <w:r w:rsidRPr="003D0716">
        <w:rPr>
          <w:rFonts w:ascii="Times New Roman" w:eastAsia="Times New Roman" w:hAnsi="Times New Roman" w:cs="Times New Roman"/>
          <w:color w:val="000000"/>
          <w:sz w:val="24"/>
          <w:szCs w:val="24"/>
          <w:lang w:eastAsia="pt-BR"/>
        </w:rPr>
        <w:t xml:space="preserve"> juntar manifestação técnica conclusiva atestando a vantajosidade da prorrogação, com indicação da metodologia utilizada para verificação dos custos e condições mais proveitosas.  </w:t>
      </w:r>
    </w:p>
    <w:p w14:paraId="6C1C5F1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777DD4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De se lembrar que a avaliação da vantajosidade possui aspectos técnicos e econômicos. Além disso, a vantajosidade econômica não se traduz no simples valor monetário da contratação comparado com o dos orçamentos obtidos, pois existe todo um custo administrativo envolvendo o desfazimento de um contrato e a seleção e celebração de um outro. </w:t>
      </w:r>
    </w:p>
    <w:p w14:paraId="6C6FC494"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16D543ED"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Na pesquisa de preço para obtenção de preço relativo às contratações de prestação de serviços com regime de dedicação de mão de obra exclusiva, aplica-se o disposto na Instrução Normativa SEGES/M</w:t>
      </w:r>
      <w:r>
        <w:rPr>
          <w:rFonts w:ascii="Times New Roman" w:eastAsia="Times New Roman" w:hAnsi="Times New Roman" w:cs="Times New Roman"/>
          <w:color w:val="000000"/>
          <w:sz w:val="24"/>
          <w:szCs w:val="24"/>
          <w:lang w:eastAsia="pt-BR"/>
        </w:rPr>
        <w:t>P</w:t>
      </w:r>
      <w:r w:rsidRPr="00A211C3">
        <w:rPr>
          <w:rFonts w:ascii="Times New Roman" w:eastAsia="Times New Roman" w:hAnsi="Times New Roman" w:cs="Times New Roman"/>
          <w:color w:val="000000"/>
          <w:sz w:val="24"/>
          <w:szCs w:val="24"/>
          <w:lang w:eastAsia="pt-BR"/>
        </w:rPr>
        <w:t xml:space="preserve"> nº 5, de 2017, ou outra que venha a substituí-la, observando, no que couber, o disposto na Instrução Normativa SEGES/ME nº 65, de 7 de julho de 2021 (art. 9º). </w:t>
      </w:r>
    </w:p>
    <w:p w14:paraId="0E9B8CC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074722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E4D17E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Dispensa de pesquisa de preços em serviços com dedicação exclusiva de mão de obra</w:t>
      </w:r>
      <w:r w:rsidRPr="003D0716">
        <w:rPr>
          <w:rFonts w:ascii="Times New Roman" w:eastAsia="Times New Roman" w:hAnsi="Times New Roman" w:cs="Times New Roman"/>
          <w:sz w:val="24"/>
          <w:szCs w:val="24"/>
          <w:lang w:eastAsia="pt-BR"/>
        </w:rPr>
        <w:t> </w:t>
      </w:r>
    </w:p>
    <w:p w14:paraId="3E9B579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87CB45A"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A Administração deve juntar manifestação técnica explicitando as razões por que está dispensando a realização de pesquisa de preços para fins de aferição da vantajosidade da contratação. Outrossim, independentemente da realização ou não de pesquisa, deve haver a juntada de manifestação conclusiva sobre a permanência da vantajosidade da contratação, sob pena de restar inviável a prorrogação (</w:t>
      </w:r>
      <w:r w:rsidRPr="00A211C3">
        <w:rPr>
          <w:rFonts w:ascii="Times New Roman" w:eastAsia="Times New Roman" w:hAnsi="Times New Roman" w:cs="Times New Roman"/>
          <w:color w:val="000000"/>
          <w:sz w:val="24"/>
          <w:szCs w:val="24"/>
          <w:lang w:eastAsia="pt-BR"/>
        </w:rPr>
        <w:t>art. 107, da Lei nº 14.133, de 2021</w:t>
      </w:r>
      <w:r w:rsidRPr="003D0716">
        <w:rPr>
          <w:rFonts w:ascii="Times New Roman" w:eastAsia="Times New Roman" w:hAnsi="Times New Roman" w:cs="Times New Roman"/>
          <w:color w:val="000000"/>
          <w:sz w:val="24"/>
          <w:szCs w:val="24"/>
          <w:lang w:eastAsia="pt-BR"/>
        </w:rPr>
        <w:t>). </w:t>
      </w:r>
    </w:p>
    <w:p w14:paraId="131FDD87"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w:t>
      </w:r>
    </w:p>
    <w:p w14:paraId="48824F0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Para contratações de serviços continuados com dedicação exclusiva de mão de obra, a pesquisa de preços restará dispensada se cumpridas as condições do item 7 do anexo IX da </w:t>
      </w:r>
      <w:r w:rsidRPr="00A211C3">
        <w:rPr>
          <w:rFonts w:ascii="Times New Roman" w:eastAsia="Times New Roman" w:hAnsi="Times New Roman" w:cs="Times New Roman"/>
          <w:color w:val="000000"/>
          <w:sz w:val="24"/>
          <w:szCs w:val="24"/>
          <w:lang w:eastAsia="pt-BR"/>
        </w:rPr>
        <w:t>Instrução Normativa SEGES/M</w:t>
      </w:r>
      <w:r>
        <w:rPr>
          <w:rFonts w:ascii="Times New Roman" w:eastAsia="Times New Roman" w:hAnsi="Times New Roman" w:cs="Times New Roman"/>
          <w:color w:val="000000"/>
          <w:sz w:val="24"/>
          <w:szCs w:val="24"/>
          <w:lang w:eastAsia="pt-BR"/>
        </w:rPr>
        <w:t>P</w:t>
      </w:r>
      <w:r w:rsidRPr="00A211C3">
        <w:rPr>
          <w:rFonts w:ascii="Times New Roman" w:eastAsia="Times New Roman" w:hAnsi="Times New Roman" w:cs="Times New Roman"/>
          <w:color w:val="000000"/>
          <w:sz w:val="24"/>
          <w:szCs w:val="24"/>
          <w:lang w:eastAsia="pt-BR"/>
        </w:rPr>
        <w:t xml:space="preserve"> nº 5, </w:t>
      </w:r>
      <w:r>
        <w:rPr>
          <w:rFonts w:ascii="Times New Roman" w:eastAsia="Times New Roman" w:hAnsi="Times New Roman" w:cs="Times New Roman"/>
          <w:color w:val="000000"/>
          <w:sz w:val="24"/>
          <w:szCs w:val="24"/>
          <w:lang w:eastAsia="pt-BR"/>
        </w:rPr>
        <w:t xml:space="preserve">de 2017 </w:t>
      </w:r>
      <w:r w:rsidRPr="003D0716">
        <w:rPr>
          <w:rFonts w:ascii="Times New Roman" w:eastAsia="Times New Roman" w:hAnsi="Times New Roman" w:cs="Times New Roman"/>
          <w:sz w:val="24"/>
          <w:szCs w:val="24"/>
          <w:lang w:eastAsia="pt-BR"/>
        </w:rPr>
        <w:t>(cf. ainda item IV da Conclusão DEPCONSU/PGF/AGU nº 143/2018 e Acórdão TCU nº 1.214/2013 -Plenário) </w:t>
      </w:r>
    </w:p>
    <w:p w14:paraId="4A1F526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2EA836F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O Anexo IX da Instrução Normativa SEGES/MP nº 05, de 26 de maio 2017, que dispõe sobre as regras e diretrizes do procedimento de contratação de serviços sob o regime de execução indireta no âmbito da Administração Pública federal direta, autárquica e fundacional, estabelece que: </w:t>
      </w:r>
    </w:p>
    <w:p w14:paraId="065198D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3624F26"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7. A vantajosidade econômica para prorrogação dos contratos com mão de obra exclusiva estará assegurada, sendo dispensada a realização de pesquisa de mercado, nas seguintes hipóteses: </w:t>
      </w:r>
    </w:p>
    <w:p w14:paraId="6D8317C1"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lastRenderedPageBreak/>
        <w:t>a) quando o contrato contiver previsões de que os reajustes dos itens envolvendo a folha de salários serão efetuados com base em Acordo, Convenção, Dissídio Coletivo de Trabalho ou em decorrência de lei; </w:t>
      </w:r>
    </w:p>
    <w:p w14:paraId="593334BB" w14:textId="77777777" w:rsidR="00854C77"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 xml:space="preserve">b) quando o contrato contiver previsões de que os reajustes dos itens envolvendo insumos (exceto quanto a obrigações decorrentes de Acordo, Convenção, Dissídio Coletivo de Trabalho e de lei) e materiais serão efetuados com base em índices oficiais, previamente definidos no contrato, que guardem a maior correlação possível com o segmento econômico em que estejam inseridos tais insumos ou materiais ou, na falta de qualquer índice setorial, o Índice Nacional de Preços ao Consumidor Amplo (IPCA/IBGE); </w:t>
      </w:r>
    </w:p>
    <w:p w14:paraId="1C7AE03F"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w:t>
      </w:r>
    </w:p>
    <w:p w14:paraId="30F9A375"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(Grifos nossos)</w:t>
      </w:r>
    </w:p>
    <w:p w14:paraId="74009FC9" w14:textId="77777777" w:rsidR="00854C77" w:rsidRPr="003D0716" w:rsidRDefault="00854C77" w:rsidP="00854C77">
      <w:pPr>
        <w:spacing w:after="0" w:line="240" w:lineRule="auto"/>
        <w:ind w:left="226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56FECB84"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Nessa senda, aplica-se o disposto no Enunciado Consultivo PGF n.263:</w:t>
      </w:r>
      <w:r w:rsidRPr="003D0716">
        <w:rPr>
          <w:rFonts w:ascii="Times New Roman" w:eastAsia="Times New Roman" w:hAnsi="Times New Roman" w:cs="Times New Roman"/>
          <w:color w:val="000000"/>
          <w:sz w:val="24"/>
          <w:szCs w:val="24"/>
          <w:lang w:eastAsia="pt-BR"/>
        </w:rPr>
        <w:t> </w:t>
      </w:r>
    </w:p>
    <w:p w14:paraId="07D27D9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127EBC2"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A vantajosidade da prorrogação nos contratos de serviço continuados com dedicação exclusiva de mão de obra estará assegurada se houver previsão no ajuste dos requisitos previstos no item 7 do Anexo IX da IN n. 05/2017-SEGES/MP. </w:t>
      </w:r>
    </w:p>
    <w:p w14:paraId="638C4146"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Fonte: Parecer n. 00004/2018/CPLC/DEPCONSU/PGF/AGU, revisão do Parecer n. 12/2014/CPLC/DEPCONSU/PGF/AGU. NUP 00407.000072/2020-36 (Seq. 135 e 47). </w:t>
      </w:r>
    </w:p>
    <w:p w14:paraId="16B1056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02A0F2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Na hipótese de cláusula no termo aditivo ressalvando futura repactuação, a análise da vantajosidade deve considerar a estimativa do aumento de preços que futuramente será aplicado ao contrato. É necessária, nessa situação, apurada diligência no atesto da vantajosidade, já que ainda não são conhecidos os preços finais que serão pagos à contratada. </w:t>
      </w:r>
    </w:p>
    <w:p w14:paraId="08930104"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A9AA76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Uma boa solução seria verificar se os orçamentos eventualmente pesquisados no mercado já levam em conta as convenções coletivas e dissídios coletivos que serão motivo para a repactuação contratual ou se foram feitos com base em dissídios anteriores e se já há convenção negociada, mas ainda não registrada. </w:t>
      </w:r>
    </w:p>
    <w:p w14:paraId="6A14258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1F09E76"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Importante destacar que a ressalva de repactuação somente pode ser incluída no termo aditivo se houver expresso pedido da contratada, sob pena de preclusão lógica do direito de repactuar. Nesse sentido o art. 57 da Instrução Normativa SEGES/M</w:t>
      </w:r>
      <w:r>
        <w:rPr>
          <w:rFonts w:ascii="Times New Roman" w:eastAsia="Times New Roman" w:hAnsi="Times New Roman" w:cs="Times New Roman"/>
          <w:color w:val="000000"/>
          <w:sz w:val="24"/>
          <w:szCs w:val="24"/>
          <w:lang w:eastAsia="pt-BR"/>
        </w:rPr>
        <w:t>P</w:t>
      </w:r>
      <w:r w:rsidRPr="00A211C3">
        <w:rPr>
          <w:rFonts w:ascii="Times New Roman" w:eastAsia="Times New Roman" w:hAnsi="Times New Roman" w:cs="Times New Roman"/>
          <w:color w:val="000000"/>
          <w:sz w:val="24"/>
          <w:szCs w:val="24"/>
          <w:lang w:eastAsia="pt-BR"/>
        </w:rPr>
        <w:t xml:space="preserve"> nº 5, </w:t>
      </w:r>
      <w:r>
        <w:rPr>
          <w:rFonts w:ascii="Times New Roman" w:eastAsia="Times New Roman" w:hAnsi="Times New Roman" w:cs="Times New Roman"/>
          <w:color w:val="000000"/>
          <w:sz w:val="24"/>
          <w:szCs w:val="24"/>
          <w:lang w:eastAsia="pt-BR"/>
        </w:rPr>
        <w:t xml:space="preserve">de 2017 </w:t>
      </w:r>
      <w:r w:rsidRPr="00A211C3">
        <w:rPr>
          <w:rFonts w:ascii="Times New Roman" w:eastAsia="Times New Roman" w:hAnsi="Times New Roman" w:cs="Times New Roman"/>
          <w:color w:val="000000"/>
          <w:sz w:val="24"/>
          <w:szCs w:val="24"/>
          <w:lang w:eastAsia="pt-BR"/>
        </w:rPr>
        <w:t>e Parecer AGU JT-02/2008. </w:t>
      </w:r>
    </w:p>
    <w:p w14:paraId="26FBD65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65B317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Dispensa de pesquisa de preços em serviços</w:t>
      </w:r>
      <w:r w:rsidRPr="003D0716">
        <w:rPr>
          <w:rFonts w:ascii="Times New Roman" w:eastAsia="Times New Roman" w:hAnsi="Times New Roman" w:cs="Times New Roman"/>
          <w:b/>
          <w:bCs/>
          <w:sz w:val="24"/>
          <w:szCs w:val="24"/>
          <w:lang w:eastAsia="pt-BR"/>
        </w:rPr>
        <w:t xml:space="preserve"> sem dedicação exclusiva de mão de obra</w:t>
      </w:r>
      <w:r w:rsidRPr="003D0716">
        <w:rPr>
          <w:rFonts w:ascii="Times New Roman" w:eastAsia="Times New Roman" w:hAnsi="Times New Roman" w:cs="Times New Roman"/>
          <w:sz w:val="24"/>
          <w:szCs w:val="24"/>
          <w:lang w:eastAsia="pt-BR"/>
        </w:rPr>
        <w:t> </w:t>
      </w:r>
    </w:p>
    <w:p w14:paraId="13852B8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6E37B3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Sobre a aferição da vantajosidade da prorrogação nos contratos de serviços continuados </w:t>
      </w:r>
      <w:r w:rsidRPr="003D0716">
        <w:rPr>
          <w:rFonts w:ascii="Times New Roman" w:eastAsia="Times New Roman" w:hAnsi="Times New Roman" w:cs="Times New Roman"/>
          <w:color w:val="000000"/>
          <w:sz w:val="24"/>
          <w:szCs w:val="24"/>
          <w:u w:val="single"/>
          <w:lang w:eastAsia="pt-BR"/>
        </w:rPr>
        <w:t>sem</w:t>
      </w:r>
      <w:r w:rsidRPr="003D0716">
        <w:rPr>
          <w:rFonts w:ascii="Times New Roman" w:eastAsia="Times New Roman" w:hAnsi="Times New Roman" w:cs="Times New Roman"/>
          <w:color w:val="000000"/>
          <w:sz w:val="24"/>
          <w:szCs w:val="24"/>
          <w:lang w:eastAsia="pt-BR"/>
        </w:rPr>
        <w:t xml:space="preserve"> dedicação exclusiva de mão de obra, a Advocacia Geral da União (AGU) editou a </w:t>
      </w:r>
      <w:r w:rsidRPr="00A211C3">
        <w:rPr>
          <w:rFonts w:ascii="Times New Roman" w:eastAsia="Times New Roman" w:hAnsi="Times New Roman" w:cs="Times New Roman"/>
          <w:bCs/>
          <w:color w:val="000000"/>
          <w:sz w:val="24"/>
          <w:szCs w:val="24"/>
          <w:lang w:eastAsia="pt-BR"/>
        </w:rPr>
        <w:t>Orientação Normativa AGU nº 60, de 29 de maio de 2020</w:t>
      </w:r>
      <w:r w:rsidRPr="003D0716">
        <w:rPr>
          <w:rFonts w:ascii="Times New Roman" w:eastAsia="Times New Roman" w:hAnsi="Times New Roman" w:cs="Times New Roman"/>
          <w:color w:val="000000"/>
          <w:sz w:val="24"/>
          <w:szCs w:val="24"/>
          <w:lang w:eastAsia="pt-BR"/>
        </w:rPr>
        <w:t>, sobre o tema: </w:t>
      </w:r>
    </w:p>
    <w:p w14:paraId="0FFB988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217EE21"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Pr>
          <w:rFonts w:ascii="Times New Roman" w:eastAsia="Times New Roman" w:hAnsi="Times New Roman" w:cs="Times New Roman"/>
          <w:b/>
          <w:color w:val="000000"/>
          <w:lang w:eastAsia="pt-BR"/>
        </w:rPr>
        <w:t xml:space="preserve">ON AGU nº 60/2020: </w:t>
      </w:r>
      <w:r w:rsidRPr="00A211C3">
        <w:rPr>
          <w:rFonts w:ascii="Times New Roman" w:eastAsia="Times New Roman" w:hAnsi="Times New Roman" w:cs="Times New Roman"/>
          <w:color w:val="000000"/>
          <w:lang w:eastAsia="pt-BR"/>
        </w:rPr>
        <w:t>I) É facultada a realização de pesquisa de preços para fins de prorrogação do prazo de vigência de contratos administrativos de prestação de serviços contínuos sem dedicação exclusiva de mão de obra nos casos em que haja manifestação técnica motivada no sentido de que o índice de reajuste adotado no instrumento convocatório acompanha a variação dos preços do objeto contratado. </w:t>
      </w:r>
    </w:p>
    <w:p w14:paraId="2B173577"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109B4C5A">
        <w:rPr>
          <w:rFonts w:ascii="Times New Roman" w:eastAsia="Times New Roman" w:hAnsi="Times New Roman" w:cs="Times New Roman"/>
          <w:color w:val="000000" w:themeColor="text1"/>
          <w:lang w:eastAsia="pt-BR"/>
        </w:rPr>
        <w:lastRenderedPageBreak/>
        <w:t>II) A pesquisa de preços para fins de prorrogação do prazo de vigência dos contratos administrativos de serviços contínuos sem dedicação exclusiva de mão de obra é obrigatória nos casos em que não for tecnicamente possível atestar que a variação dos preços do objeto contratado tende a acompanhar a variação do índice de reajuste estabelecido no edital. Referência: Parecer nº 1/2019/DECOR/CGU/AGU; Parecer nº 92/2019/DECOR/CGU/ AG U; Art. 57, II, da Lei nº 8.666, de 1993. NUP 00688.000717/2019-98. </w:t>
      </w:r>
    </w:p>
    <w:p w14:paraId="346AE90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47A805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Em resumo, nos contratos de serviços continuados sem dedicação exclusiva de mão de obra, consoante expres</w:t>
      </w:r>
      <w:r>
        <w:rPr>
          <w:rFonts w:ascii="Times New Roman" w:eastAsia="Times New Roman" w:hAnsi="Times New Roman" w:cs="Times New Roman"/>
          <w:color w:val="000000"/>
          <w:sz w:val="24"/>
          <w:szCs w:val="24"/>
          <w:lang w:eastAsia="pt-BR"/>
        </w:rPr>
        <w:t xml:space="preserve">so entendimento da ON AGU nº 60, de </w:t>
      </w:r>
      <w:r w:rsidRPr="00A211C3">
        <w:rPr>
          <w:rFonts w:ascii="Times New Roman" w:eastAsia="Times New Roman" w:hAnsi="Times New Roman" w:cs="Times New Roman"/>
          <w:color w:val="000000"/>
          <w:sz w:val="24"/>
          <w:szCs w:val="24"/>
          <w:lang w:eastAsia="pt-BR"/>
        </w:rPr>
        <w:t>2020, a vantajosidade da prorrogação estará assegurada quando houver a manifestação técnica motivada atestando que o índice de reajuste adotado no instrumento convocatório acompanha a variação dos preços do objeto contratado.</w:t>
      </w:r>
      <w:r w:rsidRPr="003D0716">
        <w:rPr>
          <w:rFonts w:ascii="Times New Roman" w:eastAsia="Times New Roman" w:hAnsi="Times New Roman" w:cs="Times New Roman"/>
          <w:color w:val="000000"/>
          <w:sz w:val="24"/>
          <w:szCs w:val="24"/>
          <w:lang w:eastAsia="pt-BR"/>
        </w:rPr>
        <w:t> </w:t>
      </w:r>
    </w:p>
    <w:p w14:paraId="6A9B7348"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68A288E4"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Aplica-se</w:t>
      </w:r>
      <w:r>
        <w:rPr>
          <w:rFonts w:ascii="Times New Roman" w:eastAsia="Times New Roman" w:hAnsi="Times New Roman" w:cs="Times New Roman"/>
          <w:color w:val="000000"/>
          <w:sz w:val="24"/>
          <w:szCs w:val="24"/>
          <w:lang w:eastAsia="pt-BR"/>
        </w:rPr>
        <w:t>, igualmente,</w:t>
      </w:r>
      <w:r w:rsidRPr="00A211C3">
        <w:rPr>
          <w:rFonts w:ascii="Times New Roman" w:eastAsia="Times New Roman" w:hAnsi="Times New Roman" w:cs="Times New Roman"/>
          <w:color w:val="000000"/>
          <w:sz w:val="24"/>
          <w:szCs w:val="24"/>
          <w:lang w:eastAsia="pt-BR"/>
        </w:rPr>
        <w:t xml:space="preserve"> o Enunciado Consultivo PGF</w:t>
      </w:r>
      <w:r>
        <w:rPr>
          <w:rFonts w:ascii="Times New Roman" w:eastAsia="Times New Roman" w:hAnsi="Times New Roman" w:cs="Times New Roman"/>
          <w:color w:val="000000"/>
          <w:sz w:val="24"/>
          <w:szCs w:val="24"/>
          <w:lang w:eastAsia="pt-BR"/>
        </w:rPr>
        <w:t xml:space="preserve"> n.</w:t>
      </w:r>
      <w:r w:rsidRPr="00A211C3">
        <w:rPr>
          <w:rFonts w:ascii="Times New Roman" w:eastAsia="Times New Roman" w:hAnsi="Times New Roman" w:cs="Times New Roman"/>
          <w:color w:val="000000"/>
          <w:sz w:val="24"/>
          <w:szCs w:val="24"/>
          <w:lang w:eastAsia="pt-BR"/>
        </w:rPr>
        <w:t xml:space="preserve"> 264 a seguir:</w:t>
      </w:r>
      <w:r w:rsidRPr="003D0716">
        <w:rPr>
          <w:rFonts w:ascii="Times New Roman" w:eastAsia="Times New Roman" w:hAnsi="Times New Roman" w:cs="Times New Roman"/>
          <w:color w:val="000000"/>
          <w:sz w:val="24"/>
          <w:szCs w:val="24"/>
          <w:lang w:eastAsia="pt-BR"/>
        </w:rPr>
        <w:t> </w:t>
      </w:r>
    </w:p>
    <w:p w14:paraId="3E6A76B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558DC77"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A vantajosidade da prorrogação nos contratos de serviço continuados sem dedicação exclusiva de mão de obra estará assegurada se houver previsão no ajuste de índice de reajustamento de preços, o que não impede que o gestor, diante das especificidades contratuais, da competitividade do certame, da adequação da pesquisa de preços ulterior, da realidade do mercado e de eventual ocorrência de circunstâncias atípicas, decida pela realização de pesquisa de preços. </w:t>
      </w:r>
    </w:p>
    <w:p w14:paraId="0D0E8B7D"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Fonte: Parecer n. 00004/2018/CPLC/DEPCONSU/PGF/AGU, revisão do Parecer n. 12/2014/CPLC/DEPCONSU/PGF/AGU. NUP 00407.000072/2020-36 (Seq. 135 e 47). </w:t>
      </w:r>
    </w:p>
    <w:p w14:paraId="0209EE1D"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b/>
          <w:color w:val="000000"/>
          <w:lang w:eastAsia="pt-BR"/>
        </w:rPr>
      </w:pPr>
      <w:r w:rsidRPr="00A211C3">
        <w:rPr>
          <w:rFonts w:ascii="Times New Roman" w:eastAsia="Times New Roman" w:hAnsi="Times New Roman" w:cs="Times New Roman"/>
          <w:b/>
          <w:color w:val="000000"/>
          <w:lang w:eastAsia="pt-BR"/>
        </w:rPr>
        <w:t> </w:t>
      </w:r>
    </w:p>
    <w:p w14:paraId="52008EB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Diante das peculiaridades do caso concreto, se a Administração optar, motivadamente, pela realização da pesquisa de preços para atestar a vantajosidade da prorrogação do contrato, recomenda-se que sejam fielmente observados os parâmetros traçados na I</w:t>
      </w:r>
      <w:r>
        <w:rPr>
          <w:rFonts w:ascii="Times New Roman" w:eastAsia="Times New Roman" w:hAnsi="Times New Roman" w:cs="Times New Roman"/>
          <w:color w:val="000000"/>
          <w:sz w:val="24"/>
          <w:szCs w:val="24"/>
          <w:lang w:eastAsia="pt-BR"/>
        </w:rPr>
        <w:t xml:space="preserve">nstrução </w:t>
      </w:r>
      <w:r w:rsidRPr="00A211C3">
        <w:rPr>
          <w:rFonts w:ascii="Times New Roman" w:eastAsia="Times New Roman" w:hAnsi="Times New Roman" w:cs="Times New Roman"/>
          <w:color w:val="000000"/>
          <w:sz w:val="24"/>
          <w:szCs w:val="24"/>
          <w:lang w:eastAsia="pt-BR"/>
        </w:rPr>
        <w:t>N</w:t>
      </w:r>
      <w:r>
        <w:rPr>
          <w:rFonts w:ascii="Times New Roman" w:eastAsia="Times New Roman" w:hAnsi="Times New Roman" w:cs="Times New Roman"/>
          <w:color w:val="000000"/>
          <w:sz w:val="24"/>
          <w:szCs w:val="24"/>
          <w:lang w:eastAsia="pt-BR"/>
        </w:rPr>
        <w:t>ormativa</w:t>
      </w:r>
      <w:r w:rsidRPr="00A211C3">
        <w:rPr>
          <w:rFonts w:ascii="Times New Roman" w:eastAsia="Times New Roman" w:hAnsi="Times New Roman" w:cs="Times New Roman"/>
          <w:color w:val="000000"/>
          <w:sz w:val="24"/>
          <w:szCs w:val="24"/>
          <w:lang w:eastAsia="pt-BR"/>
        </w:rPr>
        <w:t xml:space="preserve"> SEGES/ME nº 65, de 07 de julho de 2021, que dispõe sobre o procedimento administrativo para a realização de pesquisa de preços para aquisição de bens e contratação de serviços em geral, no âmbito da administração pública federal direta, autárquica e fundacional.</w:t>
      </w:r>
      <w:r w:rsidRPr="003D0716">
        <w:rPr>
          <w:rFonts w:ascii="Times New Roman" w:eastAsia="Times New Roman" w:hAnsi="Times New Roman" w:cs="Times New Roman"/>
          <w:color w:val="000000"/>
          <w:sz w:val="24"/>
          <w:szCs w:val="24"/>
          <w:lang w:eastAsia="pt-BR"/>
        </w:rPr>
        <w:t> </w:t>
      </w:r>
    </w:p>
    <w:p w14:paraId="7A7128C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23640A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COMPROVAÇÃO DE QUE O CONTRATADO MANTÉM AS CONDIÇÕES INICIAIS DE HABILITAÇÃO E AUSÊNCIA DE SUSPENSÃO/IMPEDIMENTO OU DECLARAÇÃO DE INIDONEIDADE</w:t>
      </w:r>
      <w:r w:rsidRPr="003D0716">
        <w:rPr>
          <w:rFonts w:ascii="Times New Roman" w:eastAsia="Times New Roman" w:hAnsi="Times New Roman" w:cs="Times New Roman"/>
          <w:sz w:val="24"/>
          <w:szCs w:val="24"/>
          <w:lang w:eastAsia="pt-BR"/>
        </w:rPr>
        <w:t> </w:t>
      </w:r>
    </w:p>
    <w:p w14:paraId="565AD89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633690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O </w:t>
      </w:r>
      <w:r w:rsidRPr="00A211C3">
        <w:rPr>
          <w:rFonts w:ascii="Times New Roman" w:eastAsia="Times New Roman" w:hAnsi="Times New Roman" w:cs="Times New Roman"/>
          <w:sz w:val="24"/>
          <w:szCs w:val="24"/>
          <w:lang w:eastAsia="pt-BR"/>
        </w:rPr>
        <w:t>art. 68 da Lei nº 14.133, de 2021,</w:t>
      </w:r>
      <w:r w:rsidRPr="003D0716">
        <w:rPr>
          <w:rFonts w:ascii="Times New Roman" w:eastAsia="Times New Roman" w:hAnsi="Times New Roman" w:cs="Times New Roman"/>
          <w:sz w:val="24"/>
          <w:szCs w:val="24"/>
          <w:lang w:eastAsia="pt-BR"/>
        </w:rPr>
        <w:t xml:space="preserve"> dispõe que as habilitações fiscal, social e trabalhista serão averiguadas por meio da apresentação das seguintes comprovações válidas: i) inscrição no Cadastro de Pessoas Físicas (CPF) ou no Cadastro Nacional da Pessoa Jurídica (CNPJ); </w:t>
      </w:r>
      <w:proofErr w:type="spellStart"/>
      <w:r w:rsidRPr="003D0716">
        <w:rPr>
          <w:rFonts w:ascii="Times New Roman" w:eastAsia="Times New Roman" w:hAnsi="Times New Roman" w:cs="Times New Roman"/>
          <w:sz w:val="24"/>
          <w:szCs w:val="24"/>
          <w:lang w:eastAsia="pt-BR"/>
        </w:rPr>
        <w:t>ii</w:t>
      </w:r>
      <w:proofErr w:type="spellEnd"/>
      <w:r w:rsidRPr="003D0716">
        <w:rPr>
          <w:rFonts w:ascii="Times New Roman" w:eastAsia="Times New Roman" w:hAnsi="Times New Roman" w:cs="Times New Roman"/>
          <w:sz w:val="24"/>
          <w:szCs w:val="24"/>
          <w:lang w:eastAsia="pt-BR"/>
        </w:rPr>
        <w:t xml:space="preserve">) inscrição no cadastro de contribuintes estadual e/ou municipal, se houver, relativo ao domicílio ou sede do licitante, pertinente ao seu ramo de atividade e compatível com o objeto contratual; </w:t>
      </w:r>
      <w:proofErr w:type="spellStart"/>
      <w:r w:rsidRPr="003D0716">
        <w:rPr>
          <w:rFonts w:ascii="Times New Roman" w:eastAsia="Times New Roman" w:hAnsi="Times New Roman" w:cs="Times New Roman"/>
          <w:sz w:val="24"/>
          <w:szCs w:val="24"/>
          <w:lang w:eastAsia="pt-BR"/>
        </w:rPr>
        <w:t>iii</w:t>
      </w:r>
      <w:proofErr w:type="spellEnd"/>
      <w:r w:rsidRPr="003D0716">
        <w:rPr>
          <w:rFonts w:ascii="Times New Roman" w:eastAsia="Times New Roman" w:hAnsi="Times New Roman" w:cs="Times New Roman"/>
          <w:sz w:val="24"/>
          <w:szCs w:val="24"/>
          <w:lang w:eastAsia="pt-BR"/>
        </w:rPr>
        <w:t xml:space="preserve">) regularidade perante a Fazenda federal, estadual e/ou municipal do domicílio ou sede do licitante, ou outra equivalente, na forma da lei; </w:t>
      </w:r>
      <w:proofErr w:type="spellStart"/>
      <w:r w:rsidRPr="003D0716">
        <w:rPr>
          <w:rFonts w:ascii="Times New Roman" w:eastAsia="Times New Roman" w:hAnsi="Times New Roman" w:cs="Times New Roman"/>
          <w:sz w:val="24"/>
          <w:szCs w:val="24"/>
          <w:lang w:eastAsia="pt-BR"/>
        </w:rPr>
        <w:t>iv</w:t>
      </w:r>
      <w:proofErr w:type="spellEnd"/>
      <w:r w:rsidRPr="003D0716">
        <w:rPr>
          <w:rFonts w:ascii="Times New Roman" w:eastAsia="Times New Roman" w:hAnsi="Times New Roman" w:cs="Times New Roman"/>
          <w:sz w:val="24"/>
          <w:szCs w:val="24"/>
          <w:lang w:eastAsia="pt-BR"/>
        </w:rPr>
        <w:t>) regularidade relativa à Seguridade Social e ao FGTS, que demonstre cumprimento dos encargos sociais instituídos por lei; v) a regularidade perante a Justiça do Trabalho e; vi) o cumprimento do disposto no inciso XXXIII do art. 7º da Constituição Federal. </w:t>
      </w:r>
    </w:p>
    <w:p w14:paraId="2D51F5E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3C53AB8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A211C3">
        <w:rPr>
          <w:rFonts w:ascii="Times New Roman" w:eastAsia="Times New Roman" w:hAnsi="Times New Roman" w:cs="Times New Roman"/>
          <w:sz w:val="24"/>
          <w:szCs w:val="24"/>
          <w:lang w:eastAsia="pt-BR"/>
        </w:rPr>
        <w:t xml:space="preserve">Nos termos da Lei, antes de prorrogar o prazo de vigência do contrato, a Administração está obrigada a verificar a regularidade fiscal do contratado, consultar o Cadastro Nacional de </w:t>
      </w:r>
      <w:r w:rsidRPr="00A211C3">
        <w:rPr>
          <w:rFonts w:ascii="Times New Roman" w:eastAsia="Times New Roman" w:hAnsi="Times New Roman" w:cs="Times New Roman"/>
          <w:sz w:val="24"/>
          <w:szCs w:val="24"/>
          <w:lang w:eastAsia="pt-BR"/>
        </w:rPr>
        <w:lastRenderedPageBreak/>
        <w:t>Empresas Inidôneas e Suspensas (</w:t>
      </w:r>
      <w:proofErr w:type="spellStart"/>
      <w:r w:rsidRPr="00A211C3">
        <w:rPr>
          <w:rFonts w:ascii="Times New Roman" w:eastAsia="Times New Roman" w:hAnsi="Times New Roman" w:cs="Times New Roman"/>
          <w:sz w:val="24"/>
          <w:szCs w:val="24"/>
          <w:lang w:eastAsia="pt-BR"/>
        </w:rPr>
        <w:t>Ceis</w:t>
      </w:r>
      <w:proofErr w:type="spellEnd"/>
      <w:r w:rsidRPr="00A211C3">
        <w:rPr>
          <w:rFonts w:ascii="Times New Roman" w:eastAsia="Times New Roman" w:hAnsi="Times New Roman" w:cs="Times New Roman"/>
          <w:sz w:val="24"/>
          <w:szCs w:val="24"/>
          <w:lang w:eastAsia="pt-BR"/>
        </w:rPr>
        <w:t>) e o Cadastro Nacional de Empresas Punidas (</w:t>
      </w:r>
      <w:proofErr w:type="spellStart"/>
      <w:r w:rsidRPr="00A211C3">
        <w:rPr>
          <w:rFonts w:ascii="Times New Roman" w:eastAsia="Times New Roman" w:hAnsi="Times New Roman" w:cs="Times New Roman"/>
          <w:sz w:val="24"/>
          <w:szCs w:val="24"/>
          <w:lang w:eastAsia="pt-BR"/>
        </w:rPr>
        <w:t>Cnep</w:t>
      </w:r>
      <w:proofErr w:type="spellEnd"/>
      <w:r w:rsidRPr="00A211C3">
        <w:rPr>
          <w:rFonts w:ascii="Times New Roman" w:eastAsia="Times New Roman" w:hAnsi="Times New Roman" w:cs="Times New Roman"/>
          <w:sz w:val="24"/>
          <w:szCs w:val="24"/>
          <w:lang w:eastAsia="pt-BR"/>
        </w:rPr>
        <w:t>), emitir as certidões negativas de inidoneidade, de impedimento e de débitos trabalhistas e juntá-las ao respectivo processo (Lei nº 14.133, de 2021, art. 91, §4º</w:t>
      </w:r>
      <w:r w:rsidRPr="003D0716">
        <w:rPr>
          <w:rFonts w:ascii="Times New Roman" w:eastAsia="Times New Roman" w:hAnsi="Times New Roman" w:cs="Times New Roman"/>
          <w:sz w:val="24"/>
          <w:szCs w:val="24"/>
          <w:lang w:eastAsia="pt-BR"/>
        </w:rPr>
        <w:t>). </w:t>
      </w:r>
    </w:p>
    <w:p w14:paraId="70E9647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44C0091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A Instrução Normativa SEGES/MP nº 05, de 2017, por sua vez, exige a verificação acerca da existência de sanção que impeça a participação no certame ou a futura contratação, mediante consulta aos cadastros impeditivos de licitar ou contratar, em nome da empresa e de seus sócios (item 10.1 do Anexo VII-A). Há, nesse normativo, regra que veda a Administração prorrogar o contrato quando a contratada tiver sido penalizada nas sanções de declaração de inidoneidade, suspensão temporária ou impedimento de licitar e contratar com poder público, observadas as abrangências de aplicação (item 11, “b” do Anexo IX da IN SEGES/MP n. 05/2017). </w:t>
      </w:r>
    </w:p>
    <w:p w14:paraId="162890F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2D4D372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A211C3">
        <w:rPr>
          <w:rFonts w:ascii="Times New Roman" w:eastAsia="Times New Roman" w:hAnsi="Times New Roman" w:cs="Times New Roman"/>
          <w:sz w:val="24"/>
          <w:szCs w:val="24"/>
          <w:lang w:eastAsia="pt-BR"/>
        </w:rPr>
        <w:t xml:space="preserve">Para verificar o atendimento das regras e diretrizes para a prorrogação do contrato, a Administração </w:t>
      </w:r>
      <w:r w:rsidRPr="00A211C3">
        <w:rPr>
          <w:rFonts w:ascii="Times New Roman" w:eastAsia="Times New Roman" w:hAnsi="Times New Roman" w:cs="Times New Roman"/>
          <w:sz w:val="24"/>
          <w:szCs w:val="24"/>
          <w:u w:val="single"/>
          <w:lang w:eastAsia="pt-BR"/>
        </w:rPr>
        <w:t>deverá</w:t>
      </w:r>
      <w:r w:rsidRPr="00A211C3">
        <w:rPr>
          <w:rFonts w:ascii="Times New Roman" w:eastAsia="Times New Roman" w:hAnsi="Times New Roman" w:cs="Times New Roman"/>
          <w:sz w:val="24"/>
          <w:szCs w:val="24"/>
          <w:lang w:eastAsia="pt-BR"/>
        </w:rPr>
        <w:t xml:space="preserve">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 (IN SEGES/MP nº 03/2018). As certidões com validade eventualmente vencidas deverão ser regularizadas como condição para a prorrogação contratual.</w:t>
      </w:r>
      <w:r w:rsidRPr="003D0716">
        <w:rPr>
          <w:rFonts w:ascii="Times New Roman" w:eastAsia="Times New Roman" w:hAnsi="Times New Roman" w:cs="Times New Roman"/>
          <w:sz w:val="24"/>
          <w:szCs w:val="24"/>
          <w:lang w:eastAsia="pt-BR"/>
        </w:rPr>
        <w:t> </w:t>
      </w:r>
    </w:p>
    <w:p w14:paraId="0648D51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3322AC1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 xml:space="preserve">Além do SICAF, a Administração Pública </w:t>
      </w:r>
      <w:r w:rsidRPr="109B4C5A">
        <w:rPr>
          <w:rFonts w:ascii="Times New Roman" w:eastAsia="Times New Roman" w:hAnsi="Times New Roman" w:cs="Times New Roman"/>
          <w:sz w:val="24"/>
          <w:szCs w:val="24"/>
          <w:u w:val="single"/>
          <w:lang w:eastAsia="pt-BR"/>
        </w:rPr>
        <w:t>deve</w:t>
      </w:r>
      <w:r w:rsidRPr="109B4C5A">
        <w:rPr>
          <w:rFonts w:ascii="Times New Roman" w:eastAsia="Times New Roman" w:hAnsi="Times New Roman" w:cs="Times New Roman"/>
          <w:sz w:val="24"/>
          <w:szCs w:val="24"/>
          <w:lang w:eastAsia="pt-BR"/>
        </w:rPr>
        <w:t xml:space="preserve"> juntar aos autos a Consulta Consolidada de Pessoa Jurídica do TCU (disponível em https://certidoes-apf.apps.tcu.gov.br/), que contém em uma única certidão as consultas referentes ao Sistema de Inidôneos do TCU; ao Cadastro Nacional de Empresas Inidôneas e Suspensas - </w:t>
      </w:r>
      <w:proofErr w:type="spellStart"/>
      <w:r w:rsidRPr="109B4C5A">
        <w:rPr>
          <w:rFonts w:ascii="Times New Roman" w:eastAsia="Times New Roman" w:hAnsi="Times New Roman" w:cs="Times New Roman"/>
          <w:sz w:val="24"/>
          <w:szCs w:val="24"/>
          <w:lang w:eastAsia="pt-BR"/>
        </w:rPr>
        <w:t>Ceis</w:t>
      </w:r>
      <w:proofErr w:type="spellEnd"/>
      <w:r w:rsidRPr="109B4C5A">
        <w:rPr>
          <w:rFonts w:ascii="Times New Roman" w:eastAsia="Times New Roman" w:hAnsi="Times New Roman" w:cs="Times New Roman"/>
          <w:sz w:val="24"/>
          <w:szCs w:val="24"/>
          <w:lang w:eastAsia="pt-BR"/>
        </w:rPr>
        <w:t>/Portal de Transparência; ao Cadastro Nacional de Empresas Punidas - CNEP/Portal da Transparência; e ao Cadastro Nacional de Condenações Cíveis por Atos de Improbidade Administrativa do CNJ (CNIA/CNJ).  </w:t>
      </w:r>
    </w:p>
    <w:p w14:paraId="5431C48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44E444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referida Consulta Consolidada de Pessoa Jurídica visa atender aos princípios de simplificação e racionalização de serviços públicos digitais (</w:t>
      </w:r>
      <w:hyperlink r:id="rId32" w:tgtFrame="_blank" w:history="1">
        <w:r w:rsidRPr="003D0716">
          <w:rPr>
            <w:rFonts w:ascii="Times New Roman" w:eastAsia="Times New Roman" w:hAnsi="Times New Roman" w:cs="Times New Roman"/>
            <w:color w:val="0000FF"/>
            <w:sz w:val="24"/>
            <w:szCs w:val="24"/>
            <w:u w:val="single"/>
            <w:lang w:eastAsia="pt-BR"/>
          </w:rPr>
          <w:t>Lei nº 12.965, de 23 de abril de 2014</w:t>
        </w:r>
      </w:hyperlink>
      <w:r w:rsidRPr="003D0716">
        <w:rPr>
          <w:rFonts w:ascii="Times New Roman" w:eastAsia="Times New Roman" w:hAnsi="Times New Roman" w:cs="Times New Roman"/>
          <w:color w:val="000000"/>
          <w:sz w:val="24"/>
          <w:szCs w:val="24"/>
          <w:lang w:eastAsia="pt-BR"/>
        </w:rPr>
        <w:t xml:space="preserve">, </w:t>
      </w:r>
      <w:hyperlink r:id="rId33" w:tgtFrame="_blank" w:history="1">
        <w:r w:rsidRPr="003D0716">
          <w:rPr>
            <w:rFonts w:ascii="Times New Roman" w:eastAsia="Times New Roman" w:hAnsi="Times New Roman" w:cs="Times New Roman"/>
            <w:color w:val="0000FF"/>
            <w:sz w:val="24"/>
            <w:szCs w:val="24"/>
            <w:u w:val="single"/>
            <w:lang w:eastAsia="pt-BR"/>
          </w:rPr>
          <w:t>Lei nº 13.460, de 26 de junho de 2017</w:t>
        </w:r>
      </w:hyperlink>
      <w:r w:rsidRPr="003D0716">
        <w:rPr>
          <w:rFonts w:ascii="Times New Roman" w:eastAsia="Times New Roman" w:hAnsi="Times New Roman" w:cs="Times New Roman"/>
          <w:color w:val="000000"/>
          <w:sz w:val="24"/>
          <w:szCs w:val="24"/>
          <w:lang w:eastAsia="pt-BR"/>
        </w:rPr>
        <w:t xml:space="preserve">, </w:t>
      </w:r>
      <w:hyperlink r:id="rId34" w:tgtFrame="_blank" w:history="1">
        <w:r w:rsidRPr="003D0716">
          <w:rPr>
            <w:rFonts w:ascii="Times New Roman" w:eastAsia="Times New Roman" w:hAnsi="Times New Roman" w:cs="Times New Roman"/>
            <w:color w:val="0000FF"/>
            <w:sz w:val="24"/>
            <w:szCs w:val="24"/>
            <w:u w:val="single"/>
            <w:lang w:eastAsia="pt-BR"/>
          </w:rPr>
          <w:t>Lei nº 13.726, de 8 de outubro de 2018</w:t>
        </w:r>
      </w:hyperlink>
      <w:r w:rsidRPr="003D0716">
        <w:rPr>
          <w:rFonts w:ascii="Times New Roman" w:eastAsia="Times New Roman" w:hAnsi="Times New Roman" w:cs="Times New Roman"/>
          <w:color w:val="000000"/>
          <w:sz w:val="24"/>
          <w:szCs w:val="24"/>
          <w:lang w:eastAsia="pt-BR"/>
        </w:rPr>
        <w:t xml:space="preserve">, </w:t>
      </w:r>
      <w:hyperlink r:id="rId35" w:anchor="art14" w:tgtFrame="_blank" w:history="1">
        <w:r w:rsidRPr="003D0716">
          <w:rPr>
            <w:rFonts w:ascii="Times New Roman" w:eastAsia="Times New Roman" w:hAnsi="Times New Roman" w:cs="Times New Roman"/>
            <w:color w:val="0000FF"/>
            <w:sz w:val="24"/>
            <w:szCs w:val="24"/>
            <w:u w:val="single"/>
            <w:lang w:eastAsia="pt-BR"/>
          </w:rPr>
          <w:t>Decreto nº 10.332, de 28 de abril de 2020</w:t>
        </w:r>
      </w:hyperlink>
      <w:r w:rsidRPr="003D0716">
        <w:rPr>
          <w:rFonts w:ascii="Times New Roman" w:eastAsia="Times New Roman" w:hAnsi="Times New Roman" w:cs="Times New Roman"/>
          <w:color w:val="000000"/>
          <w:sz w:val="24"/>
          <w:szCs w:val="24"/>
          <w:lang w:eastAsia="pt-BR"/>
        </w:rPr>
        <w:t>). </w:t>
      </w:r>
    </w:p>
    <w:p w14:paraId="199DC5E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54BD5F7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 xml:space="preserve">Ainda como requisito para a prorrogação contratual, </w:t>
      </w:r>
      <w:r w:rsidRPr="109B4C5A">
        <w:rPr>
          <w:rFonts w:ascii="Times New Roman" w:eastAsia="Times New Roman" w:hAnsi="Times New Roman" w:cs="Times New Roman"/>
          <w:sz w:val="24"/>
          <w:szCs w:val="24"/>
          <w:u w:val="single"/>
          <w:lang w:eastAsia="pt-BR"/>
        </w:rPr>
        <w:t>exige-se</w:t>
      </w:r>
      <w:r w:rsidRPr="109B4C5A">
        <w:rPr>
          <w:rFonts w:ascii="Times New Roman" w:eastAsia="Times New Roman" w:hAnsi="Times New Roman" w:cs="Times New Roman"/>
          <w:sz w:val="24"/>
          <w:szCs w:val="24"/>
          <w:lang w:eastAsia="pt-BR"/>
        </w:rPr>
        <w:t xml:space="preserve"> a juntada aos autos da consulta prévia ao Cadastro Informativo de Créditos Não Quitados do Setor Público Federal - CADIN, consoante art.6º, III, da </w:t>
      </w:r>
      <w:hyperlink r:id="rId36">
        <w:r w:rsidRPr="109B4C5A">
          <w:rPr>
            <w:rFonts w:ascii="Times New Roman" w:eastAsia="Times New Roman" w:hAnsi="Times New Roman" w:cs="Times New Roman"/>
            <w:color w:val="0000FF"/>
            <w:sz w:val="24"/>
            <w:szCs w:val="24"/>
            <w:u w:val="single"/>
            <w:lang w:eastAsia="pt-BR"/>
          </w:rPr>
          <w:t>Lei nº 10.522, de 19 de julho de 2002</w:t>
        </w:r>
      </w:hyperlink>
      <w:r w:rsidRPr="109B4C5A">
        <w:rPr>
          <w:rFonts w:ascii="Times New Roman" w:eastAsia="Times New Roman" w:hAnsi="Times New Roman" w:cs="Times New Roman"/>
          <w:sz w:val="24"/>
          <w:szCs w:val="24"/>
          <w:lang w:eastAsia="pt-BR"/>
        </w:rPr>
        <w:t>. </w:t>
      </w:r>
    </w:p>
    <w:p w14:paraId="0005504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6E6402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Contudo, a ocorrência de registro no CADIN não impossibilita a prorrogação da vigência do contrato, </w:t>
      </w:r>
      <w:r w:rsidRPr="003D0716">
        <w:rPr>
          <w:rFonts w:ascii="Times New Roman" w:eastAsia="Times New Roman" w:hAnsi="Times New Roman" w:cs="Times New Roman"/>
          <w:color w:val="000000"/>
          <w:sz w:val="24"/>
          <w:szCs w:val="24"/>
          <w:lang w:eastAsia="pt-BR"/>
        </w:rPr>
        <w:t xml:space="preserve">significa que a Administração </w:t>
      </w:r>
      <w:r w:rsidRPr="003D0716">
        <w:rPr>
          <w:rFonts w:ascii="Times New Roman" w:eastAsia="Times New Roman" w:hAnsi="Times New Roman" w:cs="Times New Roman"/>
          <w:color w:val="000000"/>
          <w:sz w:val="24"/>
          <w:szCs w:val="24"/>
          <w:u w:val="single"/>
          <w:lang w:eastAsia="pt-BR"/>
        </w:rPr>
        <w:t xml:space="preserve">deve </w:t>
      </w:r>
      <w:r w:rsidRPr="003D0716">
        <w:rPr>
          <w:rFonts w:ascii="Times New Roman" w:eastAsia="Times New Roman" w:hAnsi="Times New Roman" w:cs="Times New Roman"/>
          <w:color w:val="000000"/>
          <w:sz w:val="24"/>
          <w:szCs w:val="24"/>
          <w:lang w:eastAsia="pt-BR"/>
        </w:rPr>
        <w:t xml:space="preserve">"refinar consultas, de forma a comprovar a capacidade e a presença de impeditivos à continuidade do contrato", </w:t>
      </w:r>
      <w:r w:rsidRPr="003D0716">
        <w:rPr>
          <w:rFonts w:ascii="Times New Roman" w:eastAsia="Times New Roman" w:hAnsi="Times New Roman" w:cs="Times New Roman"/>
          <w:sz w:val="24"/>
          <w:szCs w:val="24"/>
          <w:lang w:eastAsia="pt-BR"/>
        </w:rPr>
        <w:t>consoante entendimento firmado pelo Tribunal de Contas da União (</w:t>
      </w:r>
      <w:hyperlink r:id="rId37" w:tgtFrame="_blank" w:history="1">
        <w:r w:rsidRPr="003D0716">
          <w:rPr>
            <w:rFonts w:ascii="Times New Roman" w:eastAsia="Times New Roman" w:hAnsi="Times New Roman" w:cs="Times New Roman"/>
            <w:color w:val="0000FF"/>
            <w:sz w:val="24"/>
            <w:szCs w:val="24"/>
            <w:u w:val="single"/>
            <w:lang w:eastAsia="pt-BR"/>
          </w:rPr>
          <w:t>TCU. Acórdão 1134. Plenário. Ministro Relator: Augusto Sherman. Data da sessão: 31/05/2017</w:t>
        </w:r>
      </w:hyperlink>
      <w:r w:rsidRPr="003D0716">
        <w:rPr>
          <w:rFonts w:ascii="Times New Roman" w:eastAsia="Times New Roman" w:hAnsi="Times New Roman" w:cs="Times New Roman"/>
          <w:sz w:val="24"/>
          <w:szCs w:val="24"/>
          <w:lang w:eastAsia="pt-BR"/>
        </w:rPr>
        <w:t>). </w:t>
      </w:r>
    </w:p>
    <w:p w14:paraId="2A393D58"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w:t>
      </w:r>
    </w:p>
    <w:p w14:paraId="70F31A61"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u w:val="single"/>
          <w:lang w:eastAsia="pt-BR"/>
        </w:rPr>
        <w:t>É recomendável</w:t>
      </w:r>
      <w:r w:rsidRPr="00A211C3">
        <w:rPr>
          <w:rFonts w:ascii="Times New Roman" w:eastAsia="Times New Roman" w:hAnsi="Times New Roman" w:cs="Times New Roman"/>
          <w:color w:val="000000"/>
          <w:sz w:val="24"/>
          <w:szCs w:val="24"/>
          <w:lang w:eastAsia="pt-BR"/>
        </w:rPr>
        <w:t xml:space="preserve"> que seja certificado nos autos que o contratado mantém as condições iniciais de habilitação para viabilizar a prorrogação. </w:t>
      </w:r>
    </w:p>
    <w:p w14:paraId="3947EB08"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w:t>
      </w:r>
    </w:p>
    <w:p w14:paraId="17106C0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No que tange à aferição de irregularidades no SICAF e da Consulta Consolidada de Pessoa Jurídica do TCU (CEIS, sistemas do TCU, CNEP e CNJ), trata-se, ao menos em princípio, de circunstância que impossibilita a prorrogação pretendida, salvo, regularização antes da </w:t>
      </w:r>
      <w:r w:rsidRPr="003D0716">
        <w:rPr>
          <w:rFonts w:ascii="Times New Roman" w:eastAsia="Times New Roman" w:hAnsi="Times New Roman" w:cs="Times New Roman"/>
          <w:color w:val="000000"/>
          <w:sz w:val="24"/>
          <w:szCs w:val="24"/>
          <w:lang w:eastAsia="pt-BR"/>
        </w:rPr>
        <w:lastRenderedPageBreak/>
        <w:t xml:space="preserve">celebração do presente termo aditivo, adotando-se, para tanto, as medidas previstas no art. 31, da </w:t>
      </w:r>
      <w:hyperlink r:id="rId38" w:tgtFrame="_blank" w:history="1">
        <w:r w:rsidRPr="003D0716">
          <w:rPr>
            <w:rFonts w:ascii="Times New Roman" w:eastAsia="Times New Roman" w:hAnsi="Times New Roman" w:cs="Times New Roman"/>
            <w:color w:val="0000FF"/>
            <w:sz w:val="24"/>
            <w:szCs w:val="24"/>
            <w:u w:val="single"/>
            <w:lang w:eastAsia="pt-BR"/>
          </w:rPr>
          <w:t>IN SEGES/MP nº 3, de 26 de abril de 2018</w:t>
        </w:r>
      </w:hyperlink>
      <w:r w:rsidRPr="003D0716">
        <w:rPr>
          <w:rFonts w:ascii="Times New Roman" w:eastAsia="Times New Roman" w:hAnsi="Times New Roman" w:cs="Times New Roman"/>
          <w:color w:val="000000"/>
          <w:sz w:val="24"/>
          <w:szCs w:val="24"/>
          <w:lang w:eastAsia="pt-BR"/>
        </w:rPr>
        <w:t>. </w:t>
      </w:r>
    </w:p>
    <w:p w14:paraId="6C0DCF8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8DFD06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Caso seja constatada, no SICAF, a existência de "Ocorrências Impeditivas Indiretas", a Administração deve analisá-las para fins de verificar, por meio do relatório de ocorrências impeditivas indiretas, se existe ou não algum impedimento à contratação. </w:t>
      </w:r>
    </w:p>
    <w:p w14:paraId="6D4ACF3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9FC5BF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xml:space="preserve">A Administração Pública não pode celebrar contratos com entidades sancionadas com a proibição de contratar com o Poder Público, a suspensão/impedimento em toda a Administração Pública Federal ou a declaração de inidoneidade (art. 12 da </w:t>
      </w:r>
      <w:hyperlink r:id="rId39">
        <w:r w:rsidRPr="109B4C5A">
          <w:rPr>
            <w:rFonts w:ascii="Times New Roman" w:eastAsia="Times New Roman" w:hAnsi="Times New Roman" w:cs="Times New Roman"/>
            <w:color w:val="0000FF"/>
            <w:sz w:val="24"/>
            <w:szCs w:val="24"/>
            <w:u w:val="single"/>
            <w:lang w:eastAsia="pt-BR"/>
          </w:rPr>
          <w:t>Lei nº 8.429, de 02 de junho de 1992</w:t>
        </w:r>
      </w:hyperlink>
      <w:r w:rsidRPr="109B4C5A">
        <w:rPr>
          <w:rFonts w:ascii="Times New Roman" w:eastAsia="Times New Roman" w:hAnsi="Times New Roman" w:cs="Times New Roman"/>
          <w:color w:val="000000" w:themeColor="text1"/>
          <w:sz w:val="24"/>
          <w:szCs w:val="24"/>
          <w:lang w:eastAsia="pt-BR"/>
        </w:rPr>
        <w:t xml:space="preserve">, art. 6º, III, da </w:t>
      </w:r>
      <w:hyperlink r:id="rId40">
        <w:r w:rsidRPr="109B4C5A">
          <w:rPr>
            <w:rFonts w:ascii="Times New Roman" w:eastAsia="Times New Roman" w:hAnsi="Times New Roman" w:cs="Times New Roman"/>
            <w:color w:val="0000FF"/>
            <w:sz w:val="24"/>
            <w:szCs w:val="24"/>
            <w:u w:val="single"/>
            <w:lang w:eastAsia="pt-BR"/>
          </w:rPr>
          <w:t>Lei nº 10.522, de 19 de julho de 2002</w:t>
        </w:r>
      </w:hyperlink>
      <w:r w:rsidRPr="109B4C5A">
        <w:rPr>
          <w:rFonts w:ascii="Times New Roman" w:eastAsia="Times New Roman" w:hAnsi="Times New Roman" w:cs="Times New Roman"/>
          <w:color w:val="000000" w:themeColor="text1"/>
          <w:sz w:val="24"/>
          <w:szCs w:val="24"/>
          <w:lang w:eastAsia="pt-BR"/>
        </w:rPr>
        <w:t>, e art. 156, III e IV, da Lei nº 14.133, de 2021). </w:t>
      </w:r>
    </w:p>
    <w:p w14:paraId="11616E5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p>
    <w:p w14:paraId="61D30EB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Não poderá a Administração prorrogar o contrato se houver condenação da pessoa jurídica ou do sócio majoritário da empresa em tela por ato de improbidade, consoante determina o art. 12 da Lei nº 8.429, de 1992, quando a decisão judicial alcançar os contratos vigentes, razão pelo qual o CNIA/CNJ deve ser consultado tanto para a contratada em tela, como em relação ao(s) sócio(s) majoritário(s)respectivo(s), a fim de que seja aferida se há alguma restrição aos sócio(s) majoritário(s) que atinja o contrato e impeça a prorrogação. </w:t>
      </w:r>
    </w:p>
    <w:p w14:paraId="78E88022"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A8889A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REDUÇÃO DE CUSTOS NÃO RENO</w:t>
      </w:r>
      <w:r>
        <w:rPr>
          <w:rFonts w:ascii="Times New Roman" w:eastAsia="Times New Roman" w:hAnsi="Times New Roman" w:cs="Times New Roman"/>
          <w:b/>
          <w:bCs/>
          <w:sz w:val="24"/>
          <w:szCs w:val="24"/>
          <w:lang w:eastAsia="pt-BR"/>
        </w:rPr>
        <w:t>VÁVEIS JÁ PAGOS OU AMORTIZADOS</w:t>
      </w:r>
    </w:p>
    <w:p w14:paraId="33154AF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2EADA20"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De acordo com o </w:t>
      </w:r>
      <w:r w:rsidRPr="00A211C3">
        <w:rPr>
          <w:rFonts w:ascii="Times New Roman" w:eastAsia="Times New Roman" w:hAnsi="Times New Roman" w:cs="Times New Roman"/>
          <w:color w:val="000000"/>
          <w:sz w:val="24"/>
          <w:szCs w:val="24"/>
          <w:lang w:eastAsia="pt-BR"/>
        </w:rPr>
        <w:t xml:space="preserve">item 1.2. do Anexo VII-F e o </w:t>
      </w:r>
      <w:r w:rsidRPr="003D0716">
        <w:rPr>
          <w:rFonts w:ascii="Times New Roman" w:eastAsia="Times New Roman" w:hAnsi="Times New Roman" w:cs="Times New Roman"/>
          <w:color w:val="000000"/>
          <w:sz w:val="24"/>
          <w:szCs w:val="24"/>
          <w:lang w:eastAsia="pt-BR"/>
        </w:rPr>
        <w:t xml:space="preserve">item 9 do anexo IX da IN SEGES/MP nº 05, de 2017, a Administração tem por obrigação manifestar-se sobre a existência de custos fixos ou variáveis não renováveis já amortizados/pagos, </w:t>
      </w:r>
      <w:r w:rsidRPr="00A211C3">
        <w:rPr>
          <w:rFonts w:ascii="Times New Roman" w:eastAsia="Times New Roman" w:hAnsi="Times New Roman" w:cs="Times New Roman"/>
          <w:color w:val="000000"/>
          <w:sz w:val="24"/>
          <w:szCs w:val="24"/>
          <w:lang w:eastAsia="pt-BR"/>
        </w:rPr>
        <w:t>que deverão ser eliminados como condição para renovação.</w:t>
      </w:r>
      <w:r w:rsidRPr="003D0716">
        <w:rPr>
          <w:rFonts w:ascii="Times New Roman" w:eastAsia="Times New Roman" w:hAnsi="Times New Roman" w:cs="Times New Roman"/>
          <w:color w:val="000000"/>
          <w:sz w:val="24"/>
          <w:szCs w:val="24"/>
          <w:lang w:eastAsia="pt-BR"/>
        </w:rPr>
        <w:t>  </w:t>
      </w:r>
    </w:p>
    <w:p w14:paraId="16BECE0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0F2923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Administração </w:t>
      </w:r>
      <w:r w:rsidRPr="003D0716">
        <w:rPr>
          <w:rFonts w:ascii="Times New Roman" w:eastAsia="Times New Roman" w:hAnsi="Times New Roman" w:cs="Times New Roman"/>
          <w:color w:val="000000"/>
          <w:sz w:val="24"/>
          <w:szCs w:val="24"/>
          <w:u w:val="single"/>
          <w:lang w:eastAsia="pt-BR"/>
        </w:rPr>
        <w:t>deve</w:t>
      </w:r>
      <w:r w:rsidRPr="003D0716">
        <w:rPr>
          <w:rFonts w:ascii="Times New Roman" w:eastAsia="Times New Roman" w:hAnsi="Times New Roman" w:cs="Times New Roman"/>
          <w:color w:val="000000"/>
          <w:sz w:val="24"/>
          <w:szCs w:val="24"/>
          <w:lang w:eastAsia="pt-BR"/>
        </w:rPr>
        <w:t>, após verificação técnica, manifestar de forma específica se há a presença de custos não renováveis a serem suprimidos por meio de negociação com o contratado.</w:t>
      </w:r>
      <w:r w:rsidRPr="003D0716">
        <w:rPr>
          <w:rFonts w:ascii="Times New Roman" w:eastAsia="Times New Roman" w:hAnsi="Times New Roman" w:cs="Times New Roman"/>
          <w:b/>
          <w:bCs/>
          <w:color w:val="000000"/>
          <w:sz w:val="24"/>
          <w:szCs w:val="24"/>
          <w:lang w:eastAsia="pt-BR"/>
        </w:rPr>
        <w:t> </w:t>
      </w:r>
      <w:r w:rsidRPr="003D0716">
        <w:rPr>
          <w:rFonts w:ascii="Times New Roman" w:eastAsia="Times New Roman" w:hAnsi="Times New Roman" w:cs="Times New Roman"/>
          <w:color w:val="000000"/>
          <w:sz w:val="24"/>
          <w:szCs w:val="24"/>
          <w:lang w:eastAsia="pt-BR"/>
        </w:rPr>
        <w:t> </w:t>
      </w:r>
    </w:p>
    <w:p w14:paraId="64DF761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BC1EF6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Tratando-se de contratos </w:t>
      </w:r>
      <w:r w:rsidRPr="003D0716">
        <w:rPr>
          <w:rFonts w:ascii="Times New Roman" w:eastAsia="Times New Roman" w:hAnsi="Times New Roman" w:cs="Times New Roman"/>
          <w:color w:val="000000"/>
          <w:sz w:val="24"/>
          <w:szCs w:val="24"/>
          <w:u w:val="single"/>
          <w:lang w:eastAsia="pt-BR"/>
        </w:rPr>
        <w:t>com</w:t>
      </w:r>
      <w:r w:rsidRPr="003D0716">
        <w:rPr>
          <w:rFonts w:ascii="Times New Roman" w:eastAsia="Times New Roman" w:hAnsi="Times New Roman" w:cs="Times New Roman"/>
          <w:color w:val="000000"/>
          <w:sz w:val="24"/>
          <w:szCs w:val="24"/>
          <w:lang w:eastAsia="pt-BR"/>
        </w:rPr>
        <w:t xml:space="preserve"> dedicação exclusiva de mão de obra, na análise dos custos com aviso prévio, a Administração deverá seguir às orientações da </w:t>
      </w:r>
      <w:hyperlink r:id="rId41" w:tgtFrame="_blank" w:history="1">
        <w:r w:rsidRPr="003D0716">
          <w:rPr>
            <w:rFonts w:ascii="Times New Roman" w:eastAsia="Times New Roman" w:hAnsi="Times New Roman" w:cs="Times New Roman"/>
            <w:color w:val="0000FF"/>
            <w:sz w:val="24"/>
            <w:szCs w:val="24"/>
            <w:u w:val="single"/>
            <w:lang w:eastAsia="pt-BR"/>
          </w:rPr>
          <w:t>Nota Técnica nº 652/2017-MP da então Secretária de Gestão do Ministério do Planejamento</w:t>
        </w:r>
      </w:hyperlink>
      <w:r w:rsidRPr="003D0716">
        <w:rPr>
          <w:rFonts w:ascii="Times New Roman" w:eastAsia="Times New Roman" w:hAnsi="Times New Roman" w:cs="Times New Roman"/>
          <w:color w:val="000000"/>
          <w:sz w:val="24"/>
          <w:szCs w:val="24"/>
          <w:lang w:eastAsia="pt-BR"/>
        </w:rPr>
        <w:t>, que trata sobre o cálculo das eventuais deduções a serem feitas a cada ano de execução contratual. </w:t>
      </w:r>
    </w:p>
    <w:p w14:paraId="0A09175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9D1E40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Administração </w:t>
      </w:r>
      <w:r w:rsidRPr="003D0716">
        <w:rPr>
          <w:rFonts w:ascii="Times New Roman" w:eastAsia="Times New Roman" w:hAnsi="Times New Roman" w:cs="Times New Roman"/>
          <w:color w:val="000000"/>
          <w:sz w:val="24"/>
          <w:szCs w:val="24"/>
          <w:u w:val="single"/>
          <w:lang w:eastAsia="pt-BR"/>
        </w:rPr>
        <w:t>deve</w:t>
      </w:r>
      <w:r w:rsidRPr="003D0716">
        <w:rPr>
          <w:rFonts w:ascii="Times New Roman" w:eastAsia="Times New Roman" w:hAnsi="Times New Roman" w:cs="Times New Roman"/>
          <w:color w:val="000000"/>
          <w:sz w:val="24"/>
          <w:szCs w:val="24"/>
          <w:lang w:eastAsia="pt-BR"/>
        </w:rPr>
        <w:t xml:space="preserve"> cuidar para que a planilha de preços esteja sempre atualizada em relação a eventuais modificações legais capazes de reduzir os custos da contratação, ajustando-a à nova realidade legal, bem como sejam adotadas as providências para ressarcimento de eventuais valores pagos a maior. </w:t>
      </w:r>
    </w:p>
    <w:p w14:paraId="24260F4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324E0B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Por fim, não é demais destacar que eventual alteração ou revisão contratual demanda exame jurídico prévio específico (</w:t>
      </w:r>
      <w:proofErr w:type="spellStart"/>
      <w:r w:rsidRPr="109B4C5A">
        <w:rPr>
          <w:rFonts w:ascii="Times New Roman" w:eastAsia="Times New Roman" w:hAnsi="Times New Roman" w:cs="Times New Roman"/>
          <w:color w:val="000000" w:themeColor="text1"/>
          <w:sz w:val="24"/>
          <w:szCs w:val="24"/>
          <w:lang w:eastAsia="pt-BR"/>
        </w:rPr>
        <w:t>arts</w:t>
      </w:r>
      <w:proofErr w:type="spellEnd"/>
      <w:r w:rsidRPr="109B4C5A">
        <w:rPr>
          <w:rFonts w:ascii="Times New Roman" w:eastAsia="Times New Roman" w:hAnsi="Times New Roman" w:cs="Times New Roman"/>
          <w:color w:val="000000" w:themeColor="text1"/>
          <w:sz w:val="24"/>
          <w:szCs w:val="24"/>
          <w:lang w:eastAsia="pt-BR"/>
        </w:rPr>
        <w:t>. 124 e 134 da Lei n.º 14.133, de 2021), não sendo objeto deste parecer referencial.    </w:t>
      </w:r>
    </w:p>
    <w:p w14:paraId="18CEE3F1"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540B653F" w14:textId="77777777" w:rsidR="00854C77" w:rsidRPr="00A211C3" w:rsidRDefault="00854C77" w:rsidP="00854C77">
      <w:pPr>
        <w:spacing w:after="0" w:line="240" w:lineRule="auto"/>
        <w:jc w:val="both"/>
        <w:textAlignment w:val="baseline"/>
        <w:rPr>
          <w:rFonts w:ascii="Times New Roman" w:eastAsia="Times New Roman" w:hAnsi="Times New Roman" w:cs="Times New Roman"/>
          <w:b/>
          <w:bCs/>
          <w:sz w:val="24"/>
          <w:szCs w:val="24"/>
          <w:lang w:eastAsia="pt-BR"/>
        </w:rPr>
      </w:pPr>
      <w:r w:rsidRPr="00A211C3">
        <w:rPr>
          <w:rFonts w:ascii="Times New Roman" w:eastAsia="Times New Roman" w:hAnsi="Times New Roman" w:cs="Times New Roman"/>
          <w:b/>
          <w:bCs/>
          <w:sz w:val="24"/>
          <w:szCs w:val="24"/>
          <w:lang w:eastAsia="pt-BR"/>
        </w:rPr>
        <w:t>DO GERENCIAMENTO DE RISCOS </w:t>
      </w:r>
    </w:p>
    <w:p w14:paraId="543813C7" w14:textId="77777777" w:rsidR="00854C77" w:rsidRPr="00A211C3" w:rsidRDefault="00854C77" w:rsidP="00854C77">
      <w:pPr>
        <w:spacing w:after="0" w:line="240" w:lineRule="auto"/>
        <w:jc w:val="both"/>
        <w:textAlignment w:val="baseline"/>
        <w:rPr>
          <w:rFonts w:ascii="Times New Roman" w:eastAsia="Times New Roman" w:hAnsi="Times New Roman" w:cs="Times New Roman"/>
          <w:b/>
          <w:bCs/>
          <w:sz w:val="24"/>
          <w:szCs w:val="24"/>
          <w:lang w:eastAsia="pt-BR"/>
        </w:rPr>
      </w:pPr>
      <w:r w:rsidRPr="00A211C3">
        <w:rPr>
          <w:rFonts w:ascii="Times New Roman" w:eastAsia="Times New Roman" w:hAnsi="Times New Roman" w:cs="Times New Roman"/>
          <w:b/>
          <w:bCs/>
          <w:sz w:val="24"/>
          <w:szCs w:val="24"/>
          <w:lang w:eastAsia="pt-BR"/>
        </w:rPr>
        <w:t> </w:t>
      </w:r>
    </w:p>
    <w:p w14:paraId="065B96BB"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 xml:space="preserve">Nos termos do que preconiza o art. 26, §1º, IV, da Instrução Normativa SEGES/MPDG n.º 5, de 2017, aplicável, no que couber, por força da Instrução Normativa SEGES/ME nº 98, de </w:t>
      </w:r>
      <w:r w:rsidRPr="109B4C5A">
        <w:rPr>
          <w:rFonts w:ascii="Times New Roman" w:eastAsia="Times New Roman" w:hAnsi="Times New Roman" w:cs="Times New Roman"/>
          <w:color w:val="000000" w:themeColor="text1"/>
          <w:sz w:val="24"/>
          <w:szCs w:val="24"/>
          <w:lang w:eastAsia="pt-BR"/>
        </w:rPr>
        <w:lastRenderedPageBreak/>
        <w:t xml:space="preserve">2022, o mapa de riscos </w:t>
      </w:r>
      <w:r w:rsidRPr="109B4C5A">
        <w:rPr>
          <w:rFonts w:ascii="Times New Roman" w:eastAsia="Times New Roman" w:hAnsi="Times New Roman" w:cs="Times New Roman"/>
          <w:color w:val="000000" w:themeColor="text1"/>
          <w:sz w:val="24"/>
          <w:szCs w:val="24"/>
          <w:u w:val="single"/>
          <w:lang w:eastAsia="pt-BR"/>
        </w:rPr>
        <w:t>deve</w:t>
      </w:r>
      <w:r w:rsidRPr="109B4C5A">
        <w:rPr>
          <w:rFonts w:ascii="Times New Roman" w:eastAsia="Times New Roman" w:hAnsi="Times New Roman" w:cs="Times New Roman"/>
          <w:color w:val="000000" w:themeColor="text1"/>
          <w:sz w:val="24"/>
          <w:szCs w:val="24"/>
          <w:lang w:eastAsia="pt-BR"/>
        </w:rPr>
        <w:t xml:space="preserve"> ser atualizado e juntado aos autos do processo de contratação </w:t>
      </w:r>
      <w:r w:rsidRPr="109B4C5A">
        <w:rPr>
          <w:rFonts w:ascii="Times New Roman" w:eastAsia="Times New Roman" w:hAnsi="Times New Roman" w:cs="Times New Roman"/>
          <w:color w:val="000000" w:themeColor="text1"/>
          <w:sz w:val="24"/>
          <w:szCs w:val="24"/>
          <w:u w:val="single"/>
          <w:lang w:eastAsia="pt-BR"/>
        </w:rPr>
        <w:t>após eventos relevantes</w:t>
      </w:r>
      <w:r w:rsidRPr="109B4C5A">
        <w:rPr>
          <w:rFonts w:ascii="Times New Roman" w:eastAsia="Times New Roman" w:hAnsi="Times New Roman" w:cs="Times New Roman"/>
          <w:color w:val="000000" w:themeColor="text1"/>
          <w:sz w:val="24"/>
          <w:szCs w:val="24"/>
          <w:lang w:eastAsia="pt-BR"/>
        </w:rPr>
        <w:t>, durante a gestão do contrato pelos servidores responsáveis pela fiscalização. </w:t>
      </w:r>
    </w:p>
    <w:p w14:paraId="02B24AD2"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0CED0753"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xml:space="preserve">Veja que a apresentação, atualização e juntada do Mapa de Riscos poderá ocorrer também durante a execução do contrato (e não apenas na fase de planejamento), na hipótese de ocorrência de algum evento relevante que cause a alteração do </w:t>
      </w:r>
      <w:r w:rsidRPr="00A211C3">
        <w:rPr>
          <w:rFonts w:ascii="Times New Roman" w:eastAsia="Times New Roman" w:hAnsi="Times New Roman" w:cs="Times New Roman"/>
          <w:i/>
          <w:color w:val="000000"/>
          <w:sz w:val="24"/>
          <w:szCs w:val="24"/>
          <w:lang w:eastAsia="pt-BR"/>
        </w:rPr>
        <w:t>status</w:t>
      </w:r>
      <w:r w:rsidRPr="00A211C3">
        <w:rPr>
          <w:rFonts w:ascii="Times New Roman" w:eastAsia="Times New Roman" w:hAnsi="Times New Roman" w:cs="Times New Roman"/>
          <w:color w:val="000000"/>
          <w:sz w:val="24"/>
          <w:szCs w:val="24"/>
          <w:lang w:eastAsia="pt-BR"/>
        </w:rPr>
        <w:t xml:space="preserve"> fático da avença original e, consequentemente, do risco inicialmente previsto.</w:t>
      </w:r>
    </w:p>
    <w:p w14:paraId="7C3EB4F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0CB2942A"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u w:val="single"/>
          <w:lang w:eastAsia="pt-BR"/>
        </w:rPr>
        <w:t>Recomenda-se</w:t>
      </w:r>
      <w:r>
        <w:rPr>
          <w:rFonts w:ascii="Times New Roman" w:eastAsia="Times New Roman" w:hAnsi="Times New Roman" w:cs="Times New Roman"/>
          <w:color w:val="000000"/>
          <w:sz w:val="24"/>
          <w:szCs w:val="24"/>
          <w:lang w:eastAsia="pt-BR"/>
        </w:rPr>
        <w:t>, desse modo,</w:t>
      </w:r>
      <w:r w:rsidRPr="00A211C3">
        <w:rPr>
          <w:rFonts w:ascii="Times New Roman" w:eastAsia="Times New Roman" w:hAnsi="Times New Roman" w:cs="Times New Roman"/>
          <w:color w:val="000000"/>
          <w:sz w:val="24"/>
          <w:szCs w:val="24"/>
          <w:lang w:eastAsia="pt-BR"/>
        </w:rPr>
        <w:t xml:space="preserve"> que a Administração avalie se a presente prorrogação constitui ou não evento relevante, para os fins do dispositivo em comento, quanto à eventual atualização do mapa de risco, se for o caso.</w:t>
      </w:r>
      <w:r w:rsidRPr="003D0716">
        <w:rPr>
          <w:rFonts w:ascii="Times New Roman" w:eastAsia="Times New Roman" w:hAnsi="Times New Roman" w:cs="Times New Roman"/>
          <w:color w:val="000000"/>
          <w:sz w:val="24"/>
          <w:szCs w:val="24"/>
          <w:lang w:eastAsia="pt-BR"/>
        </w:rPr>
        <w:t> </w:t>
      </w:r>
    </w:p>
    <w:p w14:paraId="39EACB6D"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 </w:t>
      </w:r>
    </w:p>
    <w:p w14:paraId="7F8AE8F7" w14:textId="77777777" w:rsidR="00854C77" w:rsidRDefault="00854C77" w:rsidP="00854C77">
      <w:pPr>
        <w:spacing w:after="0" w:line="240" w:lineRule="auto"/>
        <w:jc w:val="both"/>
        <w:rPr>
          <w:rFonts w:ascii="Times New Roman" w:eastAsia="Times New Roman" w:hAnsi="Times New Roman" w:cs="Times New Roman"/>
          <w:color w:val="000000" w:themeColor="text1"/>
          <w:sz w:val="24"/>
          <w:szCs w:val="24"/>
          <w:lang w:eastAsia="pt-BR"/>
        </w:rPr>
      </w:pPr>
    </w:p>
    <w:p w14:paraId="0F1839CE"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DISPONIBILIDADE DE CRÉDITOS ORÇAMENTÁRIOS</w:t>
      </w:r>
      <w:r w:rsidRPr="003D0716">
        <w:rPr>
          <w:rFonts w:ascii="Times New Roman" w:eastAsia="Times New Roman" w:hAnsi="Times New Roman" w:cs="Times New Roman"/>
          <w:sz w:val="24"/>
          <w:szCs w:val="24"/>
          <w:lang w:eastAsia="pt-BR"/>
        </w:rPr>
        <w:t> </w:t>
      </w:r>
    </w:p>
    <w:p w14:paraId="2F6E40D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3BB64DC"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Em atenção ao art. 6º, XXIII, "j", art. 18, caput, art. 106, II, e art. 150 da Lei nº 14.133, de 2021, deve constar a declaração do setor competente acerca da previsão dos recursos orçamentários necessários para fazer face às despesas decorrentes da prorrogação, com a indicação da respectiva rubrica. </w:t>
      </w:r>
    </w:p>
    <w:p w14:paraId="37190817"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56582EB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Administração </w:t>
      </w:r>
      <w:r w:rsidRPr="003D0716">
        <w:rPr>
          <w:rFonts w:ascii="Times New Roman" w:eastAsia="Times New Roman" w:hAnsi="Times New Roman" w:cs="Times New Roman"/>
          <w:color w:val="000000"/>
          <w:sz w:val="24"/>
          <w:szCs w:val="24"/>
          <w:u w:val="single"/>
          <w:lang w:eastAsia="pt-BR"/>
        </w:rPr>
        <w:t>deve</w:t>
      </w:r>
      <w:r w:rsidRPr="003D0716">
        <w:rPr>
          <w:rFonts w:ascii="Times New Roman" w:eastAsia="Times New Roman" w:hAnsi="Times New Roman" w:cs="Times New Roman"/>
          <w:color w:val="000000"/>
          <w:sz w:val="24"/>
          <w:szCs w:val="24"/>
          <w:lang w:eastAsia="pt-BR"/>
        </w:rPr>
        <w:t xml:space="preserve"> atestar sobre a disponibilidade orçamentária para o presente exercício, bem como declarar que os créditos e empenhos, para a parcela da despesa executada em exercício futuro, serão indicadas em termos aditivos ou apostilamentos futuros (item 10 do anexo IX da IN SEGES/MP nº 05, de 2017).  </w:t>
      </w:r>
    </w:p>
    <w:p w14:paraId="10055D4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8D8401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Alerta-se, ainda, para a necessidade de juntar ao feito, antes da celebração do termo aditivo ao contrato administrativo, a nota de empenho suficiente para o suporte financeiro da respectiva despesa, em atenção ao disposto no art. 60 da </w:t>
      </w:r>
      <w:r w:rsidRPr="003D0716">
        <w:rPr>
          <w:rFonts w:ascii="Times New Roman" w:eastAsia="Times New Roman" w:hAnsi="Times New Roman" w:cs="Times New Roman"/>
          <w:sz w:val="24"/>
          <w:szCs w:val="24"/>
          <w:lang w:eastAsia="pt-BR"/>
        </w:rPr>
        <w:t>Lei nº 4.320, de 17 de março 1964.</w:t>
      </w:r>
      <w:r w:rsidRPr="003D0716">
        <w:rPr>
          <w:rFonts w:ascii="Times New Roman" w:eastAsia="Times New Roman" w:hAnsi="Times New Roman" w:cs="Times New Roman"/>
          <w:color w:val="000000"/>
          <w:sz w:val="24"/>
          <w:szCs w:val="24"/>
          <w:lang w:eastAsia="pt-BR"/>
        </w:rPr>
        <w:t xml:space="preserve"> A indicação do número e data da respectiva nota de empenho deverá constar no termo aditivo, em cumprimento ao art. 30, §1º, do </w:t>
      </w:r>
      <w:r w:rsidRPr="003D0716">
        <w:rPr>
          <w:rFonts w:ascii="Times New Roman" w:eastAsia="Times New Roman" w:hAnsi="Times New Roman" w:cs="Times New Roman"/>
          <w:sz w:val="24"/>
          <w:szCs w:val="24"/>
          <w:lang w:eastAsia="pt-BR"/>
        </w:rPr>
        <w:t>Decreto nº 93.872, de 23 de dezembro de 1986</w:t>
      </w:r>
      <w:r w:rsidRPr="003D0716">
        <w:rPr>
          <w:rFonts w:ascii="Times New Roman" w:eastAsia="Times New Roman" w:hAnsi="Times New Roman" w:cs="Times New Roman"/>
          <w:color w:val="000000"/>
          <w:sz w:val="24"/>
          <w:szCs w:val="24"/>
          <w:lang w:eastAsia="pt-BR"/>
        </w:rPr>
        <w:t xml:space="preserve"> e ao item 10 do anexo IX da IN SEGES/MP nº 05, de 2017. </w:t>
      </w:r>
    </w:p>
    <w:p w14:paraId="5B2071C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6B99F9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xml:space="preserve">No que tange o atendimento ao art. 16, I e II, da </w:t>
      </w:r>
      <w:hyperlink r:id="rId42">
        <w:r w:rsidRPr="109B4C5A">
          <w:rPr>
            <w:rFonts w:ascii="Times New Roman" w:eastAsia="Times New Roman" w:hAnsi="Times New Roman" w:cs="Times New Roman"/>
            <w:color w:val="0000FF"/>
            <w:sz w:val="24"/>
            <w:szCs w:val="24"/>
            <w:u w:val="single"/>
            <w:lang w:eastAsia="pt-BR"/>
          </w:rPr>
          <w:t>Lei Complementar nº 101, 04 de maio de 2000</w:t>
        </w:r>
      </w:hyperlink>
      <w:r w:rsidRPr="109B4C5A">
        <w:rPr>
          <w:rFonts w:ascii="Times New Roman" w:eastAsia="Times New Roman" w:hAnsi="Times New Roman" w:cs="Times New Roman"/>
          <w:color w:val="000000" w:themeColor="text1"/>
          <w:sz w:val="24"/>
          <w:szCs w:val="24"/>
          <w:lang w:eastAsia="pt-BR"/>
        </w:rPr>
        <w:t>, somente será necessário se as despesas que amparam a ação orçamentária em apreço não forem qualificáveis como atividades, mas sim como projetos, isto é, se não constituírem despesas rotineiras, como estabelece a ON AGU nº 52/2014: "As despesas ordinárias e rotineiras da administração, já previstas no orçamento e destinadas à manutenção das ações governamentais preexistentes, dispensam as exigências previstas nos incisos I e II do art. 16 da Lei Complementar nº 101, de 2000." </w:t>
      </w:r>
    </w:p>
    <w:p w14:paraId="1A2BEB2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1E7F5D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u w:val="single"/>
          <w:lang w:eastAsia="pt-BR"/>
        </w:rPr>
        <w:t>Recomenda-se</w:t>
      </w:r>
      <w:r w:rsidRPr="109B4C5A">
        <w:rPr>
          <w:rFonts w:ascii="Times New Roman" w:eastAsia="Times New Roman" w:hAnsi="Times New Roman" w:cs="Times New Roman"/>
          <w:color w:val="000000" w:themeColor="text1"/>
          <w:sz w:val="24"/>
          <w:szCs w:val="24"/>
          <w:lang w:eastAsia="pt-BR"/>
        </w:rPr>
        <w:t>, pois, que a Administração informe nos autos a natureza da ação que suporta a despesa decorrente da prorrogação do contrato, adotando, a depender do caso, as providências previstas no art. 16, I e II, da Lei de Responsabilidade Fiscal, com as premissas da estimativa de impacto orçamentário-financeiro e a metodologia de cálculo utilizadas (art. 16, §2º, da Lei Complementar nº 101/2000). </w:t>
      </w:r>
    </w:p>
    <w:p w14:paraId="5ACF941F"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w:t>
      </w:r>
    </w:p>
    <w:p w14:paraId="687240A0" w14:textId="77777777" w:rsidR="00854C77" w:rsidRDefault="00854C77" w:rsidP="00854C77">
      <w:pPr>
        <w:spacing w:after="0" w:line="240" w:lineRule="auto"/>
        <w:rPr>
          <w:rFonts w:ascii="Times New Roman" w:eastAsia="Times New Roman" w:hAnsi="Times New Roman" w:cs="Times New Roman"/>
          <w:b/>
          <w:bCs/>
          <w:sz w:val="24"/>
          <w:szCs w:val="24"/>
          <w:lang w:eastAsia="pt-BR"/>
        </w:rPr>
      </w:pPr>
    </w:p>
    <w:p w14:paraId="02263264"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DAS PROVIDÊNCIAS COMPLEMENTARES</w:t>
      </w:r>
      <w:r w:rsidRPr="003D0716">
        <w:rPr>
          <w:rFonts w:ascii="Times New Roman" w:eastAsia="Times New Roman" w:hAnsi="Times New Roman" w:cs="Times New Roman"/>
          <w:sz w:val="24"/>
          <w:szCs w:val="24"/>
          <w:lang w:eastAsia="pt-BR"/>
        </w:rPr>
        <w:t> </w:t>
      </w:r>
    </w:p>
    <w:p w14:paraId="0E67C7E6"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lastRenderedPageBreak/>
        <w:t>  </w:t>
      </w:r>
    </w:p>
    <w:p w14:paraId="3E6C846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Na hipótese de contratação direta por dispensa ou inexigibilidade de licitação, </w:t>
      </w:r>
      <w:r w:rsidRPr="003D0716">
        <w:rPr>
          <w:rFonts w:ascii="Times New Roman" w:eastAsia="Times New Roman" w:hAnsi="Times New Roman" w:cs="Times New Roman"/>
          <w:color w:val="000000"/>
          <w:sz w:val="24"/>
          <w:szCs w:val="24"/>
          <w:u w:val="single"/>
          <w:lang w:eastAsia="pt-BR"/>
        </w:rPr>
        <w:t>deverá</w:t>
      </w:r>
      <w:r w:rsidRPr="003D0716">
        <w:rPr>
          <w:rFonts w:ascii="Times New Roman" w:eastAsia="Times New Roman" w:hAnsi="Times New Roman" w:cs="Times New Roman"/>
          <w:color w:val="000000"/>
          <w:sz w:val="24"/>
          <w:szCs w:val="24"/>
          <w:lang w:eastAsia="pt-BR"/>
        </w:rPr>
        <w:t xml:space="preserve"> ser atestada a manutenção da circunstância que autorizaram a contratação direta. </w:t>
      </w:r>
    </w:p>
    <w:p w14:paraId="6420E0C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C5B0475"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u w:val="single"/>
          <w:lang w:eastAsia="pt-BR"/>
        </w:rPr>
        <w:t>Compete</w:t>
      </w:r>
      <w:r w:rsidRPr="003D0716">
        <w:rPr>
          <w:rFonts w:ascii="Times New Roman" w:eastAsia="Times New Roman" w:hAnsi="Times New Roman" w:cs="Times New Roman"/>
          <w:color w:val="000000"/>
          <w:sz w:val="24"/>
          <w:szCs w:val="24"/>
          <w:lang w:eastAsia="pt-BR"/>
        </w:rPr>
        <w:t xml:space="preserve">, ainda, ao gestor certificar-se das disposições normativas e orientações do </w:t>
      </w:r>
      <w:r w:rsidRPr="00DB1E58">
        <w:rPr>
          <w:rFonts w:ascii="Times New Roman" w:eastAsia="Times New Roman" w:hAnsi="Times New Roman" w:cs="Times New Roman"/>
          <w:color w:val="000000"/>
          <w:sz w:val="24"/>
          <w:szCs w:val="24"/>
          <w:lang w:eastAsia="pt-BR"/>
        </w:rPr>
        <w:t>Portal de Compras do Governo Federal</w:t>
      </w:r>
      <w:r w:rsidRPr="003D0716">
        <w:rPr>
          <w:rFonts w:ascii="Times New Roman" w:eastAsia="Times New Roman" w:hAnsi="Times New Roman" w:cs="Times New Roman"/>
          <w:color w:val="000000"/>
          <w:sz w:val="24"/>
          <w:szCs w:val="24"/>
          <w:lang w:eastAsia="pt-BR"/>
        </w:rPr>
        <w:t xml:space="preserve"> vigentes ao tempo da prorrogação. </w:t>
      </w:r>
      <w:r w:rsidRPr="00DB1E58">
        <w:rPr>
          <w:rFonts w:ascii="Times New Roman" w:eastAsia="Times New Roman" w:hAnsi="Times New Roman" w:cs="Times New Roman"/>
          <w:color w:val="000000"/>
          <w:sz w:val="24"/>
          <w:szCs w:val="24"/>
          <w:lang w:eastAsia="pt-BR"/>
        </w:rPr>
        <w:t>  </w:t>
      </w:r>
    </w:p>
    <w:p w14:paraId="2AC6ED1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C839854"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 xml:space="preserve">Nas hipóteses em que foi exigida garantia contratual, bem como em que for necessária sua complementação para fazer face ao valor atual da contratação, a Administração deve exigir a sua renovação/reforço pela contratada, fazendo constar tal obrigação expressamente no termo aditivo, </w:t>
      </w:r>
      <w:r w:rsidRPr="00DB1E58">
        <w:rPr>
          <w:rFonts w:ascii="Times New Roman" w:eastAsia="Times New Roman" w:hAnsi="Times New Roman" w:cs="Times New Roman"/>
          <w:color w:val="000000"/>
          <w:sz w:val="24"/>
          <w:szCs w:val="24"/>
          <w:u w:val="single"/>
          <w:lang w:eastAsia="pt-BR"/>
        </w:rPr>
        <w:t>o que deverá ser providenciado</w:t>
      </w:r>
      <w:r w:rsidRPr="00DB1E58">
        <w:rPr>
          <w:rFonts w:ascii="Times New Roman" w:eastAsia="Times New Roman" w:hAnsi="Times New Roman" w:cs="Times New Roman"/>
          <w:color w:val="000000"/>
          <w:sz w:val="24"/>
          <w:szCs w:val="24"/>
          <w:lang w:eastAsia="pt-BR"/>
        </w:rPr>
        <w:t>.</w:t>
      </w:r>
      <w:r w:rsidRPr="003D0716">
        <w:rPr>
          <w:rFonts w:ascii="Times New Roman" w:eastAsia="Times New Roman" w:hAnsi="Times New Roman" w:cs="Times New Roman"/>
          <w:color w:val="000000"/>
          <w:sz w:val="24"/>
          <w:szCs w:val="24"/>
          <w:lang w:eastAsia="pt-BR"/>
        </w:rPr>
        <w:t> </w:t>
      </w:r>
    </w:p>
    <w:p w14:paraId="4F778EB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8AB68F6"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DO TERMO ADITIVO</w:t>
      </w:r>
      <w:r w:rsidRPr="003D0716">
        <w:rPr>
          <w:rFonts w:ascii="Times New Roman" w:eastAsia="Times New Roman" w:hAnsi="Times New Roman" w:cs="Times New Roman"/>
          <w:sz w:val="24"/>
          <w:szCs w:val="24"/>
          <w:lang w:eastAsia="pt-BR"/>
        </w:rPr>
        <w:t> </w:t>
      </w:r>
    </w:p>
    <w:p w14:paraId="22E674B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E18780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minuta de termo aditivo deve conter cláusulas que tratem sobre: </w:t>
      </w:r>
    </w:p>
    <w:p w14:paraId="0BC1A5CC" w14:textId="77777777" w:rsidR="00854C77" w:rsidRPr="003D0716" w:rsidRDefault="00854C77" w:rsidP="00854C77">
      <w:pPr>
        <w:spacing w:after="0" w:line="240" w:lineRule="auto"/>
        <w:ind w:left="1890"/>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F024353" w14:textId="77777777" w:rsidR="00854C77" w:rsidRPr="003D0716" w:rsidRDefault="00854C77" w:rsidP="00854C77">
      <w:pPr>
        <w:spacing w:after="0" w:line="240" w:lineRule="auto"/>
        <w:ind w:left="189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o objeto da contratação, para que se verifique a relação do aditivo com o objeto contratual original; </w:t>
      </w:r>
    </w:p>
    <w:p w14:paraId="34DD942E" w14:textId="77777777" w:rsidR="00854C77" w:rsidRPr="00DB1E58" w:rsidRDefault="00854C77" w:rsidP="00854C77">
      <w:pPr>
        <w:spacing w:after="0" w:line="240" w:lineRule="auto"/>
        <w:ind w:left="1890"/>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b) o prazo de vigência da prorrogação, atentando-se para o </w:t>
      </w:r>
      <w:r w:rsidRPr="00DB1E58">
        <w:rPr>
          <w:rFonts w:ascii="Times New Roman" w:eastAsia="Times New Roman" w:hAnsi="Times New Roman" w:cs="Times New Roman"/>
          <w:color w:val="000000"/>
          <w:sz w:val="24"/>
          <w:szCs w:val="24"/>
          <w:lang w:eastAsia="pt-BR"/>
        </w:rPr>
        <w:t>limite máximo de 10 (dez) anos (art. 107 da Lei nº 14.133, de 2021);</w:t>
      </w:r>
      <w:r w:rsidRPr="003D0716">
        <w:rPr>
          <w:rFonts w:ascii="Times New Roman" w:eastAsia="Times New Roman" w:hAnsi="Times New Roman" w:cs="Times New Roman"/>
          <w:color w:val="000000"/>
          <w:sz w:val="24"/>
          <w:szCs w:val="24"/>
          <w:lang w:eastAsia="pt-BR"/>
        </w:rPr>
        <w:t> </w:t>
      </w:r>
    </w:p>
    <w:p w14:paraId="338A7810" w14:textId="77777777" w:rsidR="00854C77" w:rsidRPr="003D0716" w:rsidRDefault="00854C77" w:rsidP="00854C77">
      <w:pPr>
        <w:spacing w:after="0" w:line="240" w:lineRule="auto"/>
        <w:ind w:left="189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c) o valor do termo aditivo, para fins de publicidade e transparência; </w:t>
      </w:r>
    </w:p>
    <w:p w14:paraId="622CBF00" w14:textId="77777777" w:rsidR="00854C77" w:rsidRPr="003D0716" w:rsidRDefault="00854C77" w:rsidP="00854C77">
      <w:pPr>
        <w:spacing w:after="0" w:line="240" w:lineRule="auto"/>
        <w:ind w:left="189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d) a indicação do crédito e do respectivo empenho para atender à despesa no exercício em curso, bem como de cada parcela da despesa relativa à parte a ser executada em exercício futuro, com a declaração de que, em termos aditivos ou apostilamentos, indicar-se-ão os créditos e empenhos para sua cobertura (art. 30, §1º, do Decreto nº 93.872, de 1986 c/c item 10 do anexo IX da </w:t>
      </w:r>
      <w:r>
        <w:rPr>
          <w:rFonts w:ascii="Times New Roman" w:eastAsia="Times New Roman" w:hAnsi="Times New Roman" w:cs="Times New Roman"/>
          <w:color w:val="000000"/>
          <w:sz w:val="24"/>
          <w:szCs w:val="24"/>
          <w:lang w:eastAsia="pt-BR"/>
        </w:rPr>
        <w:t>Instrução Normativa</w:t>
      </w:r>
      <w:r w:rsidRPr="003D0716">
        <w:rPr>
          <w:rFonts w:ascii="Times New Roman" w:eastAsia="Times New Roman" w:hAnsi="Times New Roman" w:cs="Times New Roman"/>
          <w:color w:val="000000"/>
          <w:sz w:val="24"/>
          <w:szCs w:val="24"/>
          <w:lang w:eastAsia="pt-BR"/>
        </w:rPr>
        <w:t xml:space="preserve"> SEGES/MP nº 05, de 2017); </w:t>
      </w:r>
    </w:p>
    <w:p w14:paraId="69A83DE3" w14:textId="77777777" w:rsidR="00854C77" w:rsidRPr="00DB1E58" w:rsidRDefault="00854C77" w:rsidP="00854C77">
      <w:pPr>
        <w:spacing w:after="0" w:line="240" w:lineRule="auto"/>
        <w:ind w:left="1890"/>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e) a ressalva quanto ao direito à futura repactuação, caso tenha sido solicitada pela contratada nos contratos com dedicação exclusiva de mão</w:t>
      </w:r>
      <w:r>
        <w:rPr>
          <w:rFonts w:ascii="Times New Roman" w:eastAsia="Times New Roman" w:hAnsi="Times New Roman" w:cs="Times New Roman"/>
          <w:color w:val="000000"/>
          <w:sz w:val="24"/>
          <w:szCs w:val="24"/>
          <w:lang w:eastAsia="pt-BR"/>
        </w:rPr>
        <w:t xml:space="preserve"> de obra (art. 57 da Instrução Normativa SEGES/MP</w:t>
      </w:r>
      <w:r w:rsidRPr="003D0716">
        <w:rPr>
          <w:rFonts w:ascii="Times New Roman" w:eastAsia="Times New Roman" w:hAnsi="Times New Roman" w:cs="Times New Roman"/>
          <w:color w:val="000000"/>
          <w:sz w:val="24"/>
          <w:szCs w:val="24"/>
          <w:lang w:eastAsia="pt-BR"/>
        </w:rPr>
        <w:t xml:space="preserve"> nº 05, de 2017): </w:t>
      </w:r>
      <w:r w:rsidRPr="00DB1E58">
        <w:rPr>
          <w:rFonts w:ascii="Times New Roman" w:eastAsia="Times New Roman" w:hAnsi="Times New Roman" w:cs="Times New Roman"/>
          <w:color w:val="000000"/>
          <w:sz w:val="24"/>
          <w:szCs w:val="24"/>
          <w:lang w:eastAsia="pt-BR"/>
        </w:rPr>
        <w:t>“Fica assegurado à CONTRATADA o direito à repactuação de valores ainda não adimplidos referentes ao ciclo de vigência imediatamente anterior à presente prorrogação, não concedidos e/ou pendentes de solicitação referentes ao aumento de custos em razão da homologação de novo Acordos, Convenções ou Dissídios Coletivos de Trabalho, desde que atendidos os requisitos preceituados no termo de referência/termo de contrato”</w:t>
      </w:r>
      <w:r>
        <w:rPr>
          <w:rFonts w:ascii="Times New Roman" w:eastAsia="Times New Roman" w:hAnsi="Times New Roman" w:cs="Times New Roman"/>
          <w:color w:val="000000"/>
          <w:sz w:val="24"/>
          <w:szCs w:val="24"/>
          <w:lang w:eastAsia="pt-BR"/>
        </w:rPr>
        <w:t>;</w:t>
      </w:r>
    </w:p>
    <w:p w14:paraId="765B13F7" w14:textId="77777777" w:rsidR="00854C77" w:rsidRPr="003D0716" w:rsidRDefault="00854C77" w:rsidP="00854C77">
      <w:pPr>
        <w:spacing w:after="0" w:line="240" w:lineRule="auto"/>
        <w:ind w:left="189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f) a obrigação de renovar a garantia prestada para assegurar a plena execução do contrato (se houver previsão da garantia no contrato originário); </w:t>
      </w:r>
    </w:p>
    <w:p w14:paraId="1F19D727" w14:textId="77777777" w:rsidR="00854C77" w:rsidRPr="00DB1E58" w:rsidRDefault="00854C77" w:rsidP="00854C77">
      <w:pPr>
        <w:spacing w:after="0" w:line="240" w:lineRule="auto"/>
        <w:ind w:left="1890"/>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g)</w:t>
      </w:r>
      <w:r w:rsidRPr="003D0716">
        <w:rPr>
          <w:rFonts w:ascii="Times New Roman" w:eastAsia="Times New Roman" w:hAnsi="Times New Roman" w:cs="Times New Roman"/>
          <w:color w:val="000000"/>
          <w:sz w:val="24"/>
          <w:szCs w:val="24"/>
          <w:lang w:eastAsia="pt-BR"/>
        </w:rPr>
        <w:t xml:space="preserve"> a ratificação das cláusulas contratuais não alterad</w:t>
      </w:r>
      <w:r>
        <w:rPr>
          <w:rFonts w:ascii="Times New Roman" w:eastAsia="Times New Roman" w:hAnsi="Times New Roman" w:cs="Times New Roman"/>
          <w:color w:val="000000"/>
          <w:sz w:val="24"/>
          <w:szCs w:val="24"/>
          <w:lang w:eastAsia="pt-BR"/>
        </w:rPr>
        <w:t>as pelo termo aditivo;</w:t>
      </w:r>
    </w:p>
    <w:p w14:paraId="3D5FC6B7" w14:textId="77777777" w:rsidR="00854C77" w:rsidRPr="00DB1E58" w:rsidRDefault="00854C77" w:rsidP="00854C77">
      <w:pPr>
        <w:spacing w:after="0" w:line="240" w:lineRule="auto"/>
        <w:ind w:left="1890"/>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h) local, data e assinatura das partes e testemunhas. </w:t>
      </w:r>
    </w:p>
    <w:p w14:paraId="1E572244"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0FCA3EA2"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Com efeito, recomenda-se, desde já, ao órgão assessorado que utilize as minutas de aditivos constantes do sítio eletrônico da AGU, quando disponibilizadas.</w:t>
      </w:r>
      <w:r w:rsidRPr="003D0716">
        <w:rPr>
          <w:rFonts w:ascii="Times New Roman" w:eastAsia="Times New Roman" w:hAnsi="Times New Roman" w:cs="Times New Roman"/>
          <w:color w:val="000000"/>
          <w:sz w:val="24"/>
          <w:szCs w:val="24"/>
          <w:lang w:eastAsia="pt-BR"/>
        </w:rPr>
        <w:t> </w:t>
      </w:r>
    </w:p>
    <w:p w14:paraId="5CD17B9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B7FD055"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No que tange ao sistema de contagem da vigência do termo aditivo, é importante relembrar que deverá ser adotado o sistema data a data, de acordo com o Enunciado PGF n</w:t>
      </w:r>
      <w:r>
        <w:rPr>
          <w:rFonts w:ascii="Times New Roman" w:eastAsia="Times New Roman" w:hAnsi="Times New Roman" w:cs="Times New Roman"/>
          <w:color w:val="000000"/>
          <w:sz w:val="24"/>
          <w:szCs w:val="24"/>
          <w:lang w:eastAsia="pt-BR"/>
        </w:rPr>
        <w:t>. 143:</w:t>
      </w:r>
    </w:p>
    <w:p w14:paraId="216843B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p>
    <w:p w14:paraId="37FAA09E" w14:textId="77777777" w:rsidR="00854C77" w:rsidRPr="00DB1E58"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DB1E58">
        <w:rPr>
          <w:rFonts w:ascii="Times New Roman" w:eastAsia="Times New Roman" w:hAnsi="Times New Roman" w:cs="Times New Roman"/>
          <w:color w:val="000000"/>
          <w:lang w:eastAsia="pt-BR"/>
        </w:rPr>
        <w:lastRenderedPageBreak/>
        <w:t>143 LICITAÇÕES </w:t>
      </w:r>
    </w:p>
    <w:p w14:paraId="24F09EC6" w14:textId="77777777" w:rsidR="00854C77" w:rsidRPr="00DB1E58"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109B4C5A">
        <w:rPr>
          <w:rFonts w:ascii="Times New Roman" w:eastAsia="Times New Roman" w:hAnsi="Times New Roman" w:cs="Times New Roman"/>
          <w:color w:val="000000" w:themeColor="text1"/>
          <w:lang w:eastAsia="pt-BR"/>
        </w:rPr>
        <w:t>Os termos de contrato devem indicar como início de sua vigência a data de sua assinatura ou outra data expressamente apontada no instrumento contratual, ainda que anterior ou posterior à publicação, não se devendo condicionar o início de sua vigência à publicação do extrato de que trata o artigo 61, parágrafo único, da lei n.º 8.666, de 1993. </w:t>
      </w:r>
    </w:p>
    <w:p w14:paraId="3E07CF72" w14:textId="77777777" w:rsidR="00854C77" w:rsidRPr="00DB1E58"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DB1E58">
        <w:rPr>
          <w:rFonts w:ascii="Times New Roman" w:eastAsia="Times New Roman" w:hAnsi="Times New Roman" w:cs="Times New Roman"/>
          <w:color w:val="000000"/>
          <w:lang w:eastAsia="pt-BR"/>
        </w:rPr>
        <w:t>Fonte: Parecer n. 00006/2014/CPLC/DEPCONSU/PGF/AGU e Parecer n. 0345/PGF/RMP/2010. NUP 00407.000072/2020-36 (Seq. 28 e 98). </w:t>
      </w:r>
    </w:p>
    <w:p w14:paraId="4CAE271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p>
    <w:p w14:paraId="501FC0E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Com referência aos dados do preâmbulo, como o nome dos representantes legais, endereços, dentre outros, devem ser verificados pela própria Administração a partir dos doc</w:t>
      </w:r>
      <w:r>
        <w:rPr>
          <w:rFonts w:ascii="Times New Roman" w:eastAsia="Times New Roman" w:hAnsi="Times New Roman" w:cs="Times New Roman"/>
          <w:color w:val="000000"/>
          <w:sz w:val="24"/>
          <w:szCs w:val="24"/>
          <w:lang w:eastAsia="pt-BR"/>
        </w:rPr>
        <w:t>umentos que constam dos autos.</w:t>
      </w:r>
    </w:p>
    <w:p w14:paraId="6D3751C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E4A0C0C" w14:textId="77777777" w:rsidR="00854C77" w:rsidRPr="00DB1E58"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Outrossim, o Parecer n.00004/2022/CNMLC/CGU/AGU (disponível no NUP: 00688.000716/2019-43), ao tratar sobre a aplicação da Lei Geral de Proteção de Dados nos modelos de licitação e contratos, fixou o entendimento de que</w:t>
      </w:r>
      <w:r>
        <w:rPr>
          <w:rFonts w:ascii="Times New Roman" w:eastAsia="Times New Roman" w:hAnsi="Times New Roman" w:cs="Times New Roman"/>
          <w:color w:val="000000"/>
          <w:sz w:val="24"/>
          <w:szCs w:val="24"/>
          <w:lang w:eastAsia="pt-BR"/>
        </w:rPr>
        <w:t>, nos contratos administrativos,</w:t>
      </w:r>
      <w:r w:rsidRPr="003D0716">
        <w:rPr>
          <w:rFonts w:ascii="Times New Roman" w:eastAsia="Times New Roman" w:hAnsi="Times New Roman" w:cs="Times New Roman"/>
          <w:color w:val="000000"/>
          <w:sz w:val="24"/>
          <w:szCs w:val="24"/>
          <w:lang w:eastAsia="pt-BR"/>
        </w:rPr>
        <w:t xml:space="preserve"> </w:t>
      </w:r>
      <w:r w:rsidRPr="00DB1E58">
        <w:rPr>
          <w:rFonts w:ascii="Times New Roman" w:eastAsia="Times New Roman" w:hAnsi="Times New Roman" w:cs="Times New Roman"/>
          <w:color w:val="000000"/>
          <w:sz w:val="24"/>
          <w:szCs w:val="24"/>
          <w:lang w:eastAsia="pt-BR"/>
        </w:rPr>
        <w:t>“</w:t>
      </w:r>
      <w:r w:rsidRPr="00DB1E58">
        <w:rPr>
          <w:rFonts w:ascii="Times New Roman" w:eastAsia="Times New Roman" w:hAnsi="Times New Roman" w:cs="Times New Roman"/>
          <w:iCs/>
          <w:color w:val="000000"/>
          <w:sz w:val="24"/>
          <w:szCs w:val="24"/>
          <w:lang w:eastAsia="pt-BR"/>
        </w:rPr>
        <w:t xml:space="preserve">[...] </w:t>
      </w:r>
      <w:r w:rsidRPr="00DB1E58">
        <w:rPr>
          <w:rFonts w:ascii="Times New Roman" w:eastAsia="Times New Roman" w:hAnsi="Times New Roman" w:cs="Times New Roman"/>
          <w:b/>
          <w:bCs/>
          <w:iCs/>
          <w:color w:val="000000"/>
          <w:sz w:val="24"/>
          <w:szCs w:val="24"/>
          <w:lang w:eastAsia="pt-BR"/>
        </w:rPr>
        <w:t>não constem os números de documentos pessoais das pessoas naturais que irão assiná-los</w:t>
      </w:r>
      <w:r w:rsidRPr="00DB1E58">
        <w:rPr>
          <w:rFonts w:ascii="Times New Roman" w:eastAsia="Times New Roman" w:hAnsi="Times New Roman" w:cs="Times New Roman"/>
          <w:iCs/>
          <w:color w:val="000000"/>
          <w:sz w:val="24"/>
          <w:szCs w:val="24"/>
          <w:lang w:eastAsia="pt-BR"/>
        </w:rPr>
        <w:t>, como ocorre normalmente com os representantes da Administração e da empresa contratada. Em vez disso, propõe-se nos instrumentos contratuais os representantes da Administração sejam identificados apenas com a matrícula funcional [...]. Com relação aos representantes da contratada também se</w:t>
      </w:r>
      <w:r w:rsidRPr="00DB1E58">
        <w:rPr>
          <w:rFonts w:ascii="Times New Roman" w:eastAsia="Times New Roman" w:hAnsi="Times New Roman" w:cs="Times New Roman"/>
          <w:b/>
          <w:bCs/>
          <w:iCs/>
          <w:color w:val="000000"/>
          <w:sz w:val="24"/>
          <w:szCs w:val="24"/>
          <w:lang w:eastAsia="pt-BR"/>
        </w:rPr>
        <w:t xml:space="preserve"> propõe que os instrumentos contratuais os identifiquem apenas pelo nome</w:t>
      </w:r>
      <w:r w:rsidRPr="00DB1E58">
        <w:rPr>
          <w:rFonts w:ascii="Times New Roman" w:eastAsia="Times New Roman" w:hAnsi="Times New Roman" w:cs="Times New Roman"/>
          <w:iCs/>
          <w:color w:val="000000"/>
          <w:sz w:val="24"/>
          <w:szCs w:val="24"/>
          <w:lang w:eastAsia="pt-BR"/>
        </w:rPr>
        <w:t>, até porque o art. 61 da Lei nº 8.666, de 1993, e o §1º do art. 89 da Lei nº 14.133, de 1º de abril de 2021, exigem apenas esse dado”</w:t>
      </w:r>
      <w:r w:rsidRPr="00DB1E58">
        <w:rPr>
          <w:rFonts w:ascii="Times New Roman" w:eastAsia="Times New Roman" w:hAnsi="Times New Roman" w:cs="Times New Roman"/>
          <w:color w:val="000000"/>
          <w:sz w:val="24"/>
          <w:szCs w:val="24"/>
          <w:lang w:eastAsia="pt-BR"/>
        </w:rPr>
        <w:t>. </w:t>
      </w:r>
    </w:p>
    <w:p w14:paraId="79BD1BD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6E1440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DIVULGAÇÃO NO PORTAL NACIONAL DE CONTRATAÇÕES PÚBLICAS - PNCP E OBSERVÂNCIA DA LEI DE ACESSO À INFORMAÇÃO - LAI </w:t>
      </w:r>
      <w:r w:rsidRPr="003D0716">
        <w:rPr>
          <w:rFonts w:ascii="Times New Roman" w:eastAsia="Times New Roman" w:hAnsi="Times New Roman" w:cs="Times New Roman"/>
          <w:sz w:val="24"/>
          <w:szCs w:val="24"/>
          <w:lang w:eastAsia="pt-BR"/>
        </w:rPr>
        <w:t> </w:t>
      </w:r>
    </w:p>
    <w:p w14:paraId="6AFC447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ADB8DB4"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É obrigatória a divulgação do contrato e seus aditamentos no Portal Nacional de Contratações Públicas (PNCP), na forma prevista no art. 94 da Lei n.º 14.133, de 2021, bem como no respectivo sítio oficial na Internet, em atenção ao art. 91, caput, da Lei nº 14.133, de 2021, e ao art. 8º, §2º, da Lei n. 12.527, de 2011, c/c art. 7º, §3º, V, do Decreto n.º 7.724, de 2012. </w:t>
      </w:r>
    </w:p>
    <w:p w14:paraId="03D811A1"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 </w:t>
      </w:r>
    </w:p>
    <w:p w14:paraId="1328FBD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CONCLUSÃO</w:t>
      </w:r>
      <w:r w:rsidRPr="003D0716">
        <w:rPr>
          <w:rFonts w:ascii="Times New Roman" w:eastAsia="Times New Roman" w:hAnsi="Times New Roman" w:cs="Times New Roman"/>
          <w:sz w:val="24"/>
          <w:szCs w:val="24"/>
          <w:lang w:eastAsia="pt-BR"/>
        </w:rPr>
        <w:t> </w:t>
      </w:r>
    </w:p>
    <w:p w14:paraId="26535E3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751893E"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Em face do exposto, nos limites da análise jurídica e excluídos os aspectos técnicos e o juízo de oportunidade e conveniência do ajuste, caso sejam preenchidos todos os requisitos constantes deste Parecer Referencial, considera-se </w:t>
      </w:r>
      <w:r w:rsidRPr="00DB1E58">
        <w:rPr>
          <w:rFonts w:ascii="Times New Roman" w:eastAsia="Times New Roman" w:hAnsi="Times New Roman" w:cs="Times New Roman"/>
          <w:color w:val="000000"/>
          <w:sz w:val="24"/>
          <w:szCs w:val="24"/>
          <w:lang w:eastAsia="pt-BR"/>
        </w:rPr>
        <w:t>juridicamente regular a prorrogação</w:t>
      </w:r>
      <w:r w:rsidRPr="003D0716">
        <w:rPr>
          <w:rFonts w:ascii="Times New Roman" w:eastAsia="Times New Roman" w:hAnsi="Times New Roman" w:cs="Times New Roman"/>
          <w:color w:val="000000"/>
          <w:sz w:val="24"/>
          <w:szCs w:val="24"/>
          <w:lang w:eastAsia="pt-BR"/>
        </w:rPr>
        <w:t xml:space="preserve"> (</w:t>
      </w:r>
      <w:r w:rsidRPr="00DB1E58">
        <w:rPr>
          <w:rFonts w:ascii="Times New Roman" w:eastAsia="Times New Roman" w:hAnsi="Times New Roman" w:cs="Times New Roman"/>
          <w:color w:val="000000"/>
          <w:sz w:val="24"/>
          <w:szCs w:val="24"/>
          <w:lang w:eastAsia="pt-BR"/>
        </w:rPr>
        <w:t>art. 53, § 4º, da Lei nº 14.133, de 2021)</w:t>
      </w:r>
      <w:r>
        <w:rPr>
          <w:rFonts w:ascii="Times New Roman" w:eastAsia="Times New Roman" w:hAnsi="Times New Roman" w:cs="Times New Roman"/>
          <w:color w:val="000000"/>
          <w:sz w:val="24"/>
          <w:szCs w:val="24"/>
          <w:lang w:eastAsia="pt-BR"/>
        </w:rPr>
        <w:t>.</w:t>
      </w:r>
    </w:p>
    <w:p w14:paraId="3E0AEAA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3D8444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presente manifestação jurídica consultiva é referencial, assim, os processos administrativos que guardarem relação inequívoca e direta com a abordagem aqui realizada poderão, de agora em diante, dispensar análise individualizada, desde que o setor competente ateste, de forma expressa, que a situação concreta se amolda aos termos desta manifestação, conforme modelo anexo. </w:t>
      </w:r>
    </w:p>
    <w:p w14:paraId="5ABF7809"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E6CC5D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Não sendo o caso, a persistência de dúvida de cunho jurídico deverá resultar na remessa do processo administrativo ao órgão de consultoria para exame individualizado, mediante formulação dos questionamentos específicos, nos moldes da </w:t>
      </w:r>
      <w:r w:rsidRPr="003D0716">
        <w:rPr>
          <w:rFonts w:ascii="Times New Roman" w:eastAsia="Times New Roman" w:hAnsi="Times New Roman" w:cs="Times New Roman"/>
          <w:sz w:val="24"/>
          <w:szCs w:val="24"/>
          <w:lang w:eastAsia="pt-BR"/>
        </w:rPr>
        <w:t>Portaria PGF nº 526, de 26 de agosto de 2013</w:t>
      </w:r>
      <w:r w:rsidRPr="003D0716">
        <w:rPr>
          <w:rFonts w:ascii="Times New Roman" w:eastAsia="Times New Roman" w:hAnsi="Times New Roman" w:cs="Times New Roman"/>
          <w:color w:val="000000"/>
          <w:sz w:val="24"/>
          <w:szCs w:val="24"/>
          <w:lang w:eastAsia="pt-BR"/>
        </w:rPr>
        <w:t>. </w:t>
      </w:r>
    </w:p>
    <w:p w14:paraId="2DEF8BE6"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9D6BD8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lastRenderedPageBreak/>
        <w:t>As orientações emanadas dos pareceres jurídicos, ainda que apenas opinativos, devem ser seguidas ou, caso contrário, justificadas no corpo do processo. </w:t>
      </w:r>
    </w:p>
    <w:p w14:paraId="1E3124F5"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E6380B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Por fim, não há determinação legal a impor a fiscalização posterior de cumprimento de recomendações feitas. Eis o teor do BPC nº 05: "Ao Órgão Consultivo que em caso concreto haja exteriorizado juízo conclusivo de aprovação de minuta de edital ou contrato e tenha sugerido as alterações necessárias, não incumbe pronunciamento subsequente de verificação do cumprimento das recomendações consignadas</w:t>
      </w:r>
      <w:r w:rsidRPr="003D0716">
        <w:rPr>
          <w:rFonts w:ascii="Times New Roman" w:eastAsia="Times New Roman" w:hAnsi="Times New Roman" w:cs="Times New Roman"/>
          <w:i/>
          <w:iCs/>
          <w:color w:val="000000"/>
          <w:sz w:val="24"/>
          <w:szCs w:val="24"/>
          <w:lang w:eastAsia="pt-BR"/>
        </w:rPr>
        <w:t>"</w:t>
      </w:r>
      <w:r w:rsidRPr="003D0716">
        <w:rPr>
          <w:rFonts w:ascii="Times New Roman" w:eastAsia="Times New Roman" w:hAnsi="Times New Roman" w:cs="Times New Roman"/>
          <w:color w:val="000000"/>
          <w:sz w:val="24"/>
          <w:szCs w:val="24"/>
          <w:lang w:eastAsia="pt-BR"/>
        </w:rPr>
        <w:t>. </w:t>
      </w:r>
    </w:p>
    <w:p w14:paraId="2A4E427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759132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É o parecer, elaborado por meio do Sistema AGU de Inteligência Jurídica (Sapiens), assinado digitalmente. </w:t>
      </w:r>
    </w:p>
    <w:p w14:paraId="4F41321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32B4B3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Local e data  </w:t>
      </w:r>
    </w:p>
    <w:p w14:paraId="7EF0381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p>
    <w:p w14:paraId="60A3D6E4" w14:textId="77777777" w:rsidR="00854C77" w:rsidRPr="003D0716" w:rsidRDefault="00854C77" w:rsidP="00854C77">
      <w:pPr>
        <w:spacing w:after="0" w:line="240" w:lineRule="auto"/>
        <w:jc w:val="center"/>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PROCURADOR(A) FEDERAL</w:t>
      </w:r>
    </w:p>
    <w:p w14:paraId="0877C64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5FDE595" w14:textId="77777777" w:rsidR="00854C77" w:rsidRDefault="00854C77" w:rsidP="00854C77">
      <w:pPr>
        <w:spacing w:after="0" w:line="240" w:lineRule="auto"/>
        <w:jc w:val="center"/>
        <w:textAlignment w:val="baseline"/>
        <w:rPr>
          <w:rFonts w:ascii="Times New Roman" w:eastAsia="Times New Roman" w:hAnsi="Times New Roman" w:cs="Times New Roman"/>
          <w:b/>
          <w:bCs/>
          <w:sz w:val="24"/>
          <w:szCs w:val="24"/>
          <w:lang w:eastAsia="pt-BR"/>
        </w:rPr>
      </w:pPr>
    </w:p>
    <w:p w14:paraId="285D7EE4" w14:textId="77777777" w:rsidR="00854C77" w:rsidRDefault="00854C77" w:rsidP="00854C77">
      <w:pPr>
        <w:spacing w:after="0" w:line="240" w:lineRule="auto"/>
        <w:jc w:val="center"/>
        <w:textAlignment w:val="baseline"/>
        <w:rPr>
          <w:rFonts w:ascii="Times New Roman" w:eastAsia="Times New Roman" w:hAnsi="Times New Roman" w:cs="Times New Roman"/>
          <w:b/>
          <w:bCs/>
          <w:sz w:val="24"/>
          <w:szCs w:val="24"/>
          <w:lang w:eastAsia="pt-BR"/>
        </w:rPr>
      </w:pPr>
    </w:p>
    <w:p w14:paraId="25D9AAC0" w14:textId="77777777" w:rsidR="00854C77" w:rsidRPr="003D0716" w:rsidRDefault="00854C77" w:rsidP="00854C77">
      <w:pPr>
        <w:spacing w:after="0" w:line="240" w:lineRule="auto"/>
        <w:jc w:val="center"/>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ANEXO</w:t>
      </w:r>
      <w:r w:rsidRPr="003D0716">
        <w:rPr>
          <w:rFonts w:ascii="Times New Roman" w:eastAsia="Times New Roman" w:hAnsi="Times New Roman" w:cs="Times New Roman"/>
          <w:sz w:val="24"/>
          <w:szCs w:val="24"/>
          <w:lang w:eastAsia="pt-BR"/>
        </w:rPr>
        <w:t> </w:t>
      </w:r>
    </w:p>
    <w:p w14:paraId="2A784AE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3DDB6B6"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4BB7529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Instruções para preenchimento</w:t>
      </w:r>
      <w:r w:rsidRPr="003D0716">
        <w:rPr>
          <w:rFonts w:ascii="Times New Roman" w:eastAsia="Times New Roman" w:hAnsi="Times New Roman" w:cs="Times New Roman"/>
          <w:sz w:val="24"/>
          <w:szCs w:val="24"/>
          <w:lang w:eastAsia="pt-BR"/>
        </w:rPr>
        <w:t> </w:t>
      </w:r>
    </w:p>
    <w:p w14:paraId="52E72E1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09E0D32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O presente atestado deverá ser preenchido e assinado por servidor da área competente para a análise técnica da prorrogação </w:t>
      </w:r>
    </w:p>
    <w:p w14:paraId="11120126"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AC2D13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ATESTADO DE CONFORMIDADE DO PROCESSO COM O PARECER REFERENCIAL</w:t>
      </w:r>
      <w:r w:rsidRPr="003D0716">
        <w:rPr>
          <w:rFonts w:ascii="Times New Roman" w:eastAsia="Times New Roman" w:hAnsi="Times New Roman" w:cs="Times New Roman"/>
          <w:sz w:val="24"/>
          <w:szCs w:val="24"/>
          <w:lang w:eastAsia="pt-BR"/>
        </w:rPr>
        <w:t> </w:t>
      </w:r>
    </w:p>
    <w:p w14:paraId="1EE01C1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16A28FB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Processo: </w:t>
      </w:r>
    </w:p>
    <w:p w14:paraId="75707F3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Referência/objeto: </w:t>
      </w:r>
    </w:p>
    <w:p w14:paraId="77CDB7C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2A11045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9DF975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Atesto que o caso concreto contido no bojo dos presentes autos amolda-se à hipótese analisada pelo PARECER REFERENCIAL Nº ............., cujas recomendações foram integralmente atendidas. Fica, assim, dispensada a remessa dos autos para exame individualizado pela Procuradoria Federal </w:t>
      </w:r>
      <w:r w:rsidRPr="00DB1E58">
        <w:rPr>
          <w:rFonts w:ascii="Times New Roman" w:eastAsia="Times New Roman" w:hAnsi="Times New Roman" w:cs="Times New Roman"/>
          <w:color w:val="FF0000"/>
          <w:sz w:val="24"/>
          <w:szCs w:val="24"/>
          <w:lang w:eastAsia="pt-BR"/>
        </w:rPr>
        <w:t>Especializada</w:t>
      </w:r>
      <w:r w:rsidRPr="003D0716">
        <w:rPr>
          <w:rFonts w:ascii="Times New Roman" w:eastAsia="Times New Roman" w:hAnsi="Times New Roman" w:cs="Times New Roman"/>
          <w:sz w:val="24"/>
          <w:szCs w:val="24"/>
          <w:lang w:eastAsia="pt-BR"/>
        </w:rPr>
        <w:t xml:space="preserve"> junto à </w:t>
      </w:r>
      <w:r>
        <w:rPr>
          <w:rFonts w:ascii="Times New Roman" w:eastAsia="Times New Roman" w:hAnsi="Times New Roman" w:cs="Times New Roman"/>
          <w:sz w:val="24"/>
          <w:szCs w:val="24"/>
          <w:lang w:eastAsia="pt-BR"/>
        </w:rPr>
        <w:t>(</w:t>
      </w:r>
      <w:r w:rsidRPr="00DB1E58">
        <w:rPr>
          <w:rFonts w:ascii="Times New Roman" w:eastAsia="Times New Roman" w:hAnsi="Times New Roman" w:cs="Times New Roman"/>
          <w:color w:val="FF0000"/>
          <w:sz w:val="24"/>
          <w:szCs w:val="24"/>
          <w:lang w:eastAsia="pt-BR"/>
        </w:rPr>
        <w:t>autarquia/fundação</w:t>
      </w:r>
      <w:r>
        <w:rPr>
          <w:rFonts w:ascii="Times New Roman" w:eastAsia="Times New Roman" w:hAnsi="Times New Roman" w:cs="Times New Roman"/>
          <w:sz w:val="24"/>
          <w:szCs w:val="24"/>
          <w:lang w:eastAsia="pt-BR"/>
        </w:rPr>
        <w:t>)</w:t>
      </w:r>
      <w:r w:rsidRPr="003D0716">
        <w:rPr>
          <w:rFonts w:ascii="Times New Roman" w:eastAsia="Times New Roman" w:hAnsi="Times New Roman" w:cs="Times New Roman"/>
          <w:sz w:val="24"/>
          <w:szCs w:val="24"/>
          <w:lang w:eastAsia="pt-BR"/>
        </w:rPr>
        <w:t>, nos termos da Portaria PGF/AGU nº 262, de 05/05/2017 e Orientação Normativa nº 55, da Advocacia Geral da União. </w:t>
      </w:r>
    </w:p>
    <w:p w14:paraId="41BD4DA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1659CFB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0E82B8F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 de.......................................... de 20</w:t>
      </w:r>
      <w:proofErr w:type="gramStart"/>
      <w:r w:rsidRPr="003D0716">
        <w:rPr>
          <w:rFonts w:ascii="Times New Roman" w:eastAsia="Times New Roman" w:hAnsi="Times New Roman" w:cs="Times New Roman"/>
          <w:sz w:val="24"/>
          <w:szCs w:val="24"/>
          <w:lang w:eastAsia="pt-BR"/>
        </w:rPr>
        <w:t>.....</w:t>
      </w:r>
      <w:proofErr w:type="gramEnd"/>
      <w:r w:rsidRPr="003D0716">
        <w:rPr>
          <w:rFonts w:ascii="Times New Roman" w:eastAsia="Times New Roman" w:hAnsi="Times New Roman" w:cs="Times New Roman"/>
          <w:sz w:val="24"/>
          <w:szCs w:val="24"/>
          <w:lang w:eastAsia="pt-BR"/>
        </w:rPr>
        <w:t> </w:t>
      </w:r>
    </w:p>
    <w:p w14:paraId="47FD82A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38A856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542DA659" w14:textId="77777777" w:rsidR="00854C77" w:rsidRPr="003D0716" w:rsidRDefault="00854C77" w:rsidP="00854C77">
      <w:pPr>
        <w:spacing w:after="0" w:line="240" w:lineRule="auto"/>
        <w:jc w:val="center"/>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_________________________________________________ </w:t>
      </w:r>
    </w:p>
    <w:p w14:paraId="765398EB" w14:textId="77777777" w:rsidR="00854C77" w:rsidRPr="003D0716" w:rsidRDefault="00854C77" w:rsidP="00854C77">
      <w:pPr>
        <w:spacing w:after="0" w:line="240" w:lineRule="auto"/>
        <w:jc w:val="center"/>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Identificação e assinatura </w:t>
      </w:r>
    </w:p>
    <w:p w14:paraId="001E617E" w14:textId="77777777" w:rsidR="00854C77" w:rsidRPr="003D0716" w:rsidRDefault="00854C77" w:rsidP="00854C77">
      <w:pPr>
        <w:rPr>
          <w:rFonts w:ascii="Times New Roman" w:hAnsi="Times New Roman" w:cs="Times New Roman"/>
          <w:sz w:val="24"/>
          <w:szCs w:val="24"/>
        </w:rPr>
      </w:pPr>
    </w:p>
    <w:p w14:paraId="571985FA" w14:textId="288EC477" w:rsidR="009F4F16" w:rsidRPr="00062F68" w:rsidRDefault="00062F68" w:rsidP="287B0EF8">
      <w:pPr>
        <w:rPr>
          <w:color w:val="FFFFFF" w:themeColor="background1"/>
        </w:rPr>
      </w:pPr>
      <w:r>
        <w:rPr>
          <w:noProof/>
          <w:color w:val="FFFFFF" w:themeColor="background1"/>
        </w:rPr>
        <mc:AlternateContent>
          <mc:Choice Requires="wps">
            <w:drawing>
              <wp:anchor distT="0" distB="0" distL="114300" distR="114300" simplePos="0" relativeHeight="251687936" behindDoc="0" locked="0" layoutInCell="1" allowOverlap="1" wp14:anchorId="2F2B1E1D" wp14:editId="69EC6D05">
                <wp:simplePos x="0" y="0"/>
                <wp:positionH relativeFrom="column">
                  <wp:posOffset>-441960</wp:posOffset>
                </wp:positionH>
                <wp:positionV relativeFrom="paragraph">
                  <wp:posOffset>8463280</wp:posOffset>
                </wp:positionV>
                <wp:extent cx="1371600" cy="1127125"/>
                <wp:effectExtent l="0" t="0" r="0" b="0"/>
                <wp:wrapNone/>
                <wp:docPr id="93" name="Caixa de Texto 93"/>
                <wp:cNvGraphicFramePr/>
                <a:graphic xmlns:a="http://schemas.openxmlformats.org/drawingml/2006/main">
                  <a:graphicData uri="http://schemas.microsoft.com/office/word/2010/wordprocessingShape">
                    <wps:wsp>
                      <wps:cNvSpPr txBox="1"/>
                      <wps:spPr>
                        <a:xfrm>
                          <a:off x="0" y="0"/>
                          <a:ext cx="1371600" cy="1127125"/>
                        </a:xfrm>
                        <a:prstGeom prst="rect">
                          <a:avLst/>
                        </a:prstGeom>
                        <a:noFill/>
                        <a:ln w="6350">
                          <a:noFill/>
                        </a:ln>
                      </wps:spPr>
                      <wps:txbx>
                        <w:txbxContent>
                          <w:p w14:paraId="6700ED61" w14:textId="799E413C" w:rsidR="00062F68" w:rsidRDefault="00062F68" w:rsidP="00062F6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2B1E1D" id="Caixa de Texto 93" o:spid="_x0000_s1053" type="#_x0000_t202" style="position:absolute;margin-left:-34.8pt;margin-top:666.4pt;width:108pt;height:88.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" filled="f" stroked="f" strokeweight=".5pt">
                <v:textbox style="mso-fit-shape-to-text:t">
                  <w:txbxContent>
                    <w:p w14:paraId="6700ED61" w14:textId="799E413C" w:rsidR="00062F68" w:rsidRDefault="00062F68" w:rsidP="00062F68"/>
                  </w:txbxContent>
                </v:textbox>
              </v:shape>
            </w:pict>
          </mc:Fallback>
        </mc:AlternateContent>
      </w:r>
    </w:p>
    <w:sectPr w:rsidR="009F4F16" w:rsidRPr="00062F68" w:rsidSect="000E4B4C">
      <w:headerReference w:type="default" r:id="rId43"/>
      <w:footerReference w:type="default" r:id="rId44"/>
      <w:type w:val="continuous"/>
      <w:pgSz w:w="11906" w:h="16838"/>
      <w:pgMar w:top="17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F36C" w14:textId="77777777" w:rsidR="00104BB6" w:rsidRDefault="00104BB6" w:rsidP="00104BB6">
      <w:pPr>
        <w:spacing w:after="0" w:line="240" w:lineRule="auto"/>
      </w:pPr>
      <w:r>
        <w:separator/>
      </w:r>
    </w:p>
  </w:endnote>
  <w:endnote w:type="continuationSeparator" w:id="0">
    <w:p w14:paraId="4939F9D5" w14:textId="77777777" w:rsidR="00104BB6" w:rsidRDefault="00104BB6" w:rsidP="0010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901E" w14:textId="56FC44F3" w:rsidR="00A25BDA" w:rsidRDefault="00E217CE">
    <w:pPr>
      <w:pStyle w:val="Rodap"/>
    </w:pPr>
    <w:r>
      <w:rPr>
        <w:noProof/>
      </w:rPr>
      <w:drawing>
        <wp:anchor distT="0" distB="0" distL="114300" distR="114300" simplePos="0" relativeHeight="251661312" behindDoc="1" locked="0" layoutInCell="1" allowOverlap="1" wp14:anchorId="07DF69F6" wp14:editId="6C42AFE2">
          <wp:simplePos x="0" y="0"/>
          <wp:positionH relativeFrom="page">
            <wp:align>left</wp:align>
          </wp:positionH>
          <wp:positionV relativeFrom="paragraph">
            <wp:posOffset>-300990</wp:posOffset>
          </wp:positionV>
          <wp:extent cx="7903845" cy="948892"/>
          <wp:effectExtent l="0" t="0" r="1905" b="3810"/>
          <wp:wrapNone/>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m 104"/>
                  <pic:cNvPicPr/>
                </pic:nvPicPr>
                <pic:blipFill>
                  <a:blip r:embed="rId1">
                    <a:extLst>
                      <a:ext uri="{28A0092B-C50C-407E-A947-70E740481C1C}">
                        <a14:useLocalDpi xmlns:a14="http://schemas.microsoft.com/office/drawing/2010/main" val="0"/>
                      </a:ext>
                    </a:extLst>
                  </a:blip>
                  <a:stretch>
                    <a:fillRect/>
                  </a:stretch>
                </pic:blipFill>
                <pic:spPr>
                  <a:xfrm>
                    <a:off x="0" y="0"/>
                    <a:ext cx="7903845" cy="948892"/>
                  </a:xfrm>
                  <a:prstGeom prst="rect">
                    <a:avLst/>
                  </a:prstGeom>
                </pic:spPr>
              </pic:pic>
            </a:graphicData>
          </a:graphic>
          <wp14:sizeRelH relativeFrom="margin">
            <wp14:pctWidth>0</wp14:pctWidth>
          </wp14:sizeRelH>
          <wp14:sizeRelV relativeFrom="margin">
            <wp14:pctHeight>0</wp14:pctHeight>
          </wp14:sizeRelV>
        </wp:anchor>
      </w:drawing>
    </w:r>
    <w:r w:rsidR="0080361D">
      <w:rPr>
        <w:noProof/>
      </w:rPr>
      <w:drawing>
        <wp:anchor distT="0" distB="0" distL="114300" distR="114300" simplePos="0" relativeHeight="251662336" behindDoc="1" locked="0" layoutInCell="1" allowOverlap="1" wp14:anchorId="41F1503F" wp14:editId="26EDFF63">
          <wp:simplePos x="0" y="0"/>
          <wp:positionH relativeFrom="column">
            <wp:posOffset>5608320</wp:posOffset>
          </wp:positionH>
          <wp:positionV relativeFrom="paragraph">
            <wp:posOffset>13335</wp:posOffset>
          </wp:positionV>
          <wp:extent cx="847090" cy="476250"/>
          <wp:effectExtent l="0" t="0" r="0" b="0"/>
          <wp:wrapNone/>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2">
                    <a:extLst>
                      <a:ext uri="{28A0092B-C50C-407E-A947-70E740481C1C}">
                        <a14:useLocalDpi xmlns:a14="http://schemas.microsoft.com/office/drawing/2010/main" val="0"/>
                      </a:ext>
                    </a:extLst>
                  </a:blip>
                  <a:stretch>
                    <a:fillRect/>
                  </a:stretch>
                </pic:blipFill>
                <pic:spPr>
                  <a:xfrm>
                    <a:off x="0" y="0"/>
                    <a:ext cx="847090" cy="476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07DD" w14:textId="77777777" w:rsidR="00104BB6" w:rsidRDefault="00104BB6" w:rsidP="00104BB6">
      <w:pPr>
        <w:spacing w:after="0" w:line="240" w:lineRule="auto"/>
      </w:pPr>
      <w:r>
        <w:separator/>
      </w:r>
    </w:p>
  </w:footnote>
  <w:footnote w:type="continuationSeparator" w:id="0">
    <w:p w14:paraId="6D5D0CCA" w14:textId="77777777" w:rsidR="00104BB6" w:rsidRDefault="00104BB6" w:rsidP="0010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12D9" w14:textId="4841673B" w:rsidR="001A1D6F" w:rsidRDefault="006B03E6" w:rsidP="00E217CE">
    <w:pPr>
      <w:pStyle w:val="Cabealho"/>
      <w:tabs>
        <w:tab w:val="clear" w:pos="4252"/>
        <w:tab w:val="clear" w:pos="8504"/>
        <w:tab w:val="left" w:pos="2115"/>
      </w:tabs>
    </w:pPr>
    <w:r>
      <w:rPr>
        <w:noProof/>
      </w:rPr>
      <w:drawing>
        <wp:anchor distT="0" distB="0" distL="114300" distR="114300" simplePos="0" relativeHeight="251663360" behindDoc="0" locked="0" layoutInCell="1" allowOverlap="1" wp14:anchorId="75F7F3D6" wp14:editId="414FCF96">
          <wp:simplePos x="0" y="0"/>
          <wp:positionH relativeFrom="margin">
            <wp:posOffset>1905</wp:posOffset>
          </wp:positionH>
          <wp:positionV relativeFrom="paragraph">
            <wp:posOffset>-200025</wp:posOffset>
          </wp:positionV>
          <wp:extent cx="1881505" cy="567055"/>
          <wp:effectExtent l="0" t="0" r="4445" b="4445"/>
          <wp:wrapThrough wrapText="bothSides">
            <wp:wrapPolygon edited="0">
              <wp:start x="1968" y="0"/>
              <wp:lineTo x="0" y="2177"/>
              <wp:lineTo x="0" y="21044"/>
              <wp:lineTo x="7217" y="21044"/>
              <wp:lineTo x="21432" y="21044"/>
              <wp:lineTo x="21432" y="7982"/>
              <wp:lineTo x="15746" y="4354"/>
              <wp:lineTo x="4374" y="0"/>
              <wp:lineTo x="1968"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1881505" cy="567055"/>
                  </a:xfrm>
                  <a:prstGeom prst="rect">
                    <a:avLst/>
                  </a:prstGeom>
                </pic:spPr>
              </pic:pic>
            </a:graphicData>
          </a:graphic>
          <wp14:sizeRelH relativeFrom="page">
            <wp14:pctWidth>0</wp14:pctWidth>
          </wp14:sizeRelH>
          <wp14:sizeRelV relativeFrom="page">
            <wp14:pctHeight>0</wp14:pctHeight>
          </wp14:sizeRelV>
        </wp:anchor>
      </w:drawing>
    </w:r>
    <w:r w:rsidR="008051F5">
      <w:rPr>
        <w:noProof/>
      </w:rPr>
      <mc:AlternateContent>
        <mc:Choice Requires="wps">
          <w:drawing>
            <wp:anchor distT="0" distB="0" distL="114300" distR="114300" simplePos="0" relativeHeight="251659264" behindDoc="0" locked="0" layoutInCell="1" allowOverlap="1" wp14:anchorId="7626F336" wp14:editId="10221B14">
              <wp:simplePos x="0" y="0"/>
              <wp:positionH relativeFrom="margin">
                <wp:posOffset>2600325</wp:posOffset>
              </wp:positionH>
              <wp:positionV relativeFrom="paragraph">
                <wp:posOffset>-133350</wp:posOffset>
              </wp:positionV>
              <wp:extent cx="3228975" cy="58166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3228975" cy="581660"/>
                      </a:xfrm>
                      <a:prstGeom prst="rect">
                        <a:avLst/>
                      </a:prstGeom>
                      <a:noFill/>
                      <a:ln w="6350">
                        <a:noFill/>
                      </a:ln>
                    </wps:spPr>
                    <wps:txbx>
                      <w:txbxContent>
                        <w:p w14:paraId="2780ABD5" w14:textId="49A31008" w:rsidR="00E83792" w:rsidRPr="00E83792" w:rsidRDefault="008051F5" w:rsidP="008051F5">
                          <w:pPr>
                            <w:jc w:val="right"/>
                            <w:rPr>
                              <w:rFonts w:ascii="Arial" w:hAnsi="Arial" w:cs="Arial"/>
                              <w:sz w:val="20"/>
                              <w:szCs w:val="20"/>
                            </w:rPr>
                          </w:pPr>
                          <w:r w:rsidRPr="008051F5">
                            <w:rPr>
                              <w:rFonts w:ascii="Arial" w:hAnsi="Arial" w:cs="Arial"/>
                              <w:sz w:val="20"/>
                              <w:szCs w:val="20"/>
                            </w:rPr>
                            <w:t>Prorrogação de vigência em contratos de prestação de serviços</w:t>
                          </w:r>
                          <w:r>
                            <w:rPr>
                              <w:rFonts w:ascii="Arial" w:hAnsi="Arial" w:cs="Arial"/>
                              <w:sz w:val="20"/>
                              <w:szCs w:val="20"/>
                            </w:rPr>
                            <w:t xml:space="preserve"> </w:t>
                          </w:r>
                          <w:r w:rsidRPr="008051F5">
                            <w:rPr>
                              <w:rFonts w:ascii="Arial" w:hAnsi="Arial" w:cs="Arial"/>
                              <w:sz w:val="20"/>
                              <w:szCs w:val="20"/>
                            </w:rPr>
                            <w:t>e fornecimentos continuados</w:t>
                          </w:r>
                          <w:r>
                            <w:rPr>
                              <w:rFonts w:ascii="Arial" w:hAnsi="Arial" w:cs="Arial"/>
                              <w:sz w:val="20"/>
                              <w:szCs w:val="20"/>
                            </w:rPr>
                            <w:br/>
                          </w:r>
                          <w:r w:rsidR="00E83792" w:rsidRPr="00E83792">
                            <w:rPr>
                              <w:rFonts w:ascii="Arial" w:hAnsi="Arial" w:cs="Arial"/>
                              <w:sz w:val="20"/>
                              <w:szCs w:val="20"/>
                            </w:rPr>
                            <w:t xml:space="preserve">Versão </w:t>
                          </w:r>
                          <w:r>
                            <w:rPr>
                              <w:rFonts w:ascii="Arial" w:hAnsi="Arial" w:cs="Arial"/>
                              <w:sz w:val="20"/>
                              <w:szCs w:val="20"/>
                            </w:rPr>
                            <w:t>novembro</w:t>
                          </w:r>
                          <w:r w:rsidR="00E83792" w:rsidRPr="00E83792">
                            <w:rPr>
                              <w:rFonts w:ascii="Arial" w:hAnsi="Arial" w:cs="Arial"/>
                              <w:sz w:val="20"/>
                              <w:szCs w:val="2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6F336" id="_x0000_t202" coordsize="21600,21600" o:spt="202" path="m,l,21600r21600,l21600,xe">
              <v:stroke joinstyle="miter"/>
              <v:path gradientshapeok="t" o:connecttype="rect"/>
            </v:shapetype>
            <v:shape id="Caixa de Texto 7" o:spid="_x0000_s1054" type="#_x0000_t202" style="position:absolute;margin-left:204.75pt;margin-top:-10.5pt;width:254.25pt;height:4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" filled="f" stroked="f" strokeweight=".5pt">
              <v:textbox>
                <w:txbxContent>
                  <w:p w14:paraId="2780ABD5" w14:textId="49A31008" w:rsidR="00E83792" w:rsidRPr="00E83792" w:rsidRDefault="008051F5" w:rsidP="008051F5">
                    <w:pPr>
                      <w:jc w:val="right"/>
                      <w:rPr>
                        <w:rFonts w:ascii="Arial" w:hAnsi="Arial" w:cs="Arial"/>
                        <w:sz w:val="20"/>
                        <w:szCs w:val="20"/>
                      </w:rPr>
                    </w:pPr>
                    <w:r w:rsidRPr="008051F5">
                      <w:rPr>
                        <w:rFonts w:ascii="Arial" w:hAnsi="Arial" w:cs="Arial"/>
                        <w:sz w:val="20"/>
                        <w:szCs w:val="20"/>
                      </w:rPr>
                      <w:t>Prorrogação de vigência em contratos de prestação de serviços</w:t>
                    </w:r>
                    <w:r>
                      <w:rPr>
                        <w:rFonts w:ascii="Arial" w:hAnsi="Arial" w:cs="Arial"/>
                        <w:sz w:val="20"/>
                        <w:szCs w:val="20"/>
                      </w:rPr>
                      <w:t xml:space="preserve"> </w:t>
                    </w:r>
                    <w:r w:rsidRPr="008051F5">
                      <w:rPr>
                        <w:rFonts w:ascii="Arial" w:hAnsi="Arial" w:cs="Arial"/>
                        <w:sz w:val="20"/>
                        <w:szCs w:val="20"/>
                      </w:rPr>
                      <w:t>e fornecimentos continuados</w:t>
                    </w:r>
                    <w:r>
                      <w:rPr>
                        <w:rFonts w:ascii="Arial" w:hAnsi="Arial" w:cs="Arial"/>
                        <w:sz w:val="20"/>
                        <w:szCs w:val="20"/>
                      </w:rPr>
                      <w:br/>
                    </w:r>
                    <w:r w:rsidR="00E83792" w:rsidRPr="00E83792">
                      <w:rPr>
                        <w:rFonts w:ascii="Arial" w:hAnsi="Arial" w:cs="Arial"/>
                        <w:sz w:val="20"/>
                        <w:szCs w:val="20"/>
                      </w:rPr>
                      <w:t xml:space="preserve">Versão </w:t>
                    </w:r>
                    <w:r>
                      <w:rPr>
                        <w:rFonts w:ascii="Arial" w:hAnsi="Arial" w:cs="Arial"/>
                        <w:sz w:val="20"/>
                        <w:szCs w:val="20"/>
                      </w:rPr>
                      <w:t>novembro</w:t>
                    </w:r>
                    <w:r w:rsidR="00E83792" w:rsidRPr="00E83792">
                      <w:rPr>
                        <w:rFonts w:ascii="Arial" w:hAnsi="Arial" w:cs="Arial"/>
                        <w:sz w:val="20"/>
                        <w:szCs w:val="20"/>
                      </w:rPr>
                      <w:t>/2023</w:t>
                    </w:r>
                  </w:p>
                </w:txbxContent>
              </v:textbox>
              <w10:wrap anchorx="margin"/>
            </v:shape>
          </w:pict>
        </mc:Fallback>
      </mc:AlternateContent>
    </w:r>
    <w:r w:rsidR="00E217C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ABA8"/>
    <w:multiLevelType w:val="hybridMultilevel"/>
    <w:tmpl w:val="806416E4"/>
    <w:lvl w:ilvl="0" w:tplc="8E4EB13A">
      <w:start w:val="1"/>
      <w:numFmt w:val="bullet"/>
      <w:lvlText w:val=""/>
      <w:lvlJc w:val="left"/>
      <w:pPr>
        <w:ind w:left="720" w:hanging="360"/>
      </w:pPr>
      <w:rPr>
        <w:rFonts w:ascii="Symbol" w:hAnsi="Symbol" w:hint="default"/>
      </w:rPr>
    </w:lvl>
    <w:lvl w:ilvl="1" w:tplc="9CDC36A8">
      <w:start w:val="1"/>
      <w:numFmt w:val="bullet"/>
      <w:lvlText w:val="o"/>
      <w:lvlJc w:val="left"/>
      <w:pPr>
        <w:ind w:left="1440" w:hanging="360"/>
      </w:pPr>
      <w:rPr>
        <w:rFonts w:ascii="Courier New" w:hAnsi="Courier New" w:hint="default"/>
      </w:rPr>
    </w:lvl>
    <w:lvl w:ilvl="2" w:tplc="19702256">
      <w:start w:val="1"/>
      <w:numFmt w:val="bullet"/>
      <w:lvlText w:val=""/>
      <w:lvlJc w:val="left"/>
      <w:pPr>
        <w:ind w:left="2160" w:hanging="360"/>
      </w:pPr>
      <w:rPr>
        <w:rFonts w:ascii="Wingdings" w:hAnsi="Wingdings" w:hint="default"/>
      </w:rPr>
    </w:lvl>
    <w:lvl w:ilvl="3" w:tplc="A08A410E">
      <w:start w:val="1"/>
      <w:numFmt w:val="bullet"/>
      <w:lvlText w:val=""/>
      <w:lvlJc w:val="left"/>
      <w:pPr>
        <w:ind w:left="2880" w:hanging="360"/>
      </w:pPr>
      <w:rPr>
        <w:rFonts w:ascii="Symbol" w:hAnsi="Symbol" w:hint="default"/>
      </w:rPr>
    </w:lvl>
    <w:lvl w:ilvl="4" w:tplc="37E24B8A">
      <w:start w:val="1"/>
      <w:numFmt w:val="bullet"/>
      <w:lvlText w:val="o"/>
      <w:lvlJc w:val="left"/>
      <w:pPr>
        <w:ind w:left="3600" w:hanging="360"/>
      </w:pPr>
      <w:rPr>
        <w:rFonts w:ascii="Courier New" w:hAnsi="Courier New" w:hint="default"/>
      </w:rPr>
    </w:lvl>
    <w:lvl w:ilvl="5" w:tplc="46AC8D66">
      <w:start w:val="1"/>
      <w:numFmt w:val="bullet"/>
      <w:lvlText w:val=""/>
      <w:lvlJc w:val="left"/>
      <w:pPr>
        <w:ind w:left="4320" w:hanging="360"/>
      </w:pPr>
      <w:rPr>
        <w:rFonts w:ascii="Wingdings" w:hAnsi="Wingdings" w:hint="default"/>
      </w:rPr>
    </w:lvl>
    <w:lvl w:ilvl="6" w:tplc="F8963254">
      <w:start w:val="1"/>
      <w:numFmt w:val="bullet"/>
      <w:lvlText w:val=""/>
      <w:lvlJc w:val="left"/>
      <w:pPr>
        <w:ind w:left="5040" w:hanging="360"/>
      </w:pPr>
      <w:rPr>
        <w:rFonts w:ascii="Symbol" w:hAnsi="Symbol" w:hint="default"/>
      </w:rPr>
    </w:lvl>
    <w:lvl w:ilvl="7" w:tplc="35FA1970">
      <w:start w:val="1"/>
      <w:numFmt w:val="bullet"/>
      <w:lvlText w:val="o"/>
      <w:lvlJc w:val="left"/>
      <w:pPr>
        <w:ind w:left="5760" w:hanging="360"/>
      </w:pPr>
      <w:rPr>
        <w:rFonts w:ascii="Courier New" w:hAnsi="Courier New" w:hint="default"/>
      </w:rPr>
    </w:lvl>
    <w:lvl w:ilvl="8" w:tplc="2BB8870E">
      <w:start w:val="1"/>
      <w:numFmt w:val="bullet"/>
      <w:lvlText w:val=""/>
      <w:lvlJc w:val="left"/>
      <w:pPr>
        <w:ind w:left="6480" w:hanging="360"/>
      </w:pPr>
      <w:rPr>
        <w:rFonts w:ascii="Wingdings" w:hAnsi="Wingdings" w:hint="default"/>
      </w:rPr>
    </w:lvl>
  </w:abstractNum>
  <w:abstractNum w:abstractNumId="1" w15:restartNumberingAfterBreak="0">
    <w:nsid w:val="03BDBF93"/>
    <w:multiLevelType w:val="hybridMultilevel"/>
    <w:tmpl w:val="EC4242B4"/>
    <w:lvl w:ilvl="0" w:tplc="847E41B8">
      <w:start w:val="1"/>
      <w:numFmt w:val="bullet"/>
      <w:lvlText w:val=""/>
      <w:lvlJc w:val="left"/>
      <w:pPr>
        <w:ind w:left="720" w:hanging="360"/>
      </w:pPr>
      <w:rPr>
        <w:rFonts w:ascii="Symbol" w:hAnsi="Symbol" w:hint="default"/>
      </w:rPr>
    </w:lvl>
    <w:lvl w:ilvl="1" w:tplc="8CECD3A8">
      <w:start w:val="1"/>
      <w:numFmt w:val="bullet"/>
      <w:lvlText w:val="o"/>
      <w:lvlJc w:val="left"/>
      <w:pPr>
        <w:ind w:left="1440" w:hanging="360"/>
      </w:pPr>
      <w:rPr>
        <w:rFonts w:ascii="Courier New" w:hAnsi="Courier New" w:hint="default"/>
      </w:rPr>
    </w:lvl>
    <w:lvl w:ilvl="2" w:tplc="86EC72D0">
      <w:start w:val="1"/>
      <w:numFmt w:val="bullet"/>
      <w:lvlText w:val=""/>
      <w:lvlJc w:val="left"/>
      <w:pPr>
        <w:ind w:left="2160" w:hanging="360"/>
      </w:pPr>
      <w:rPr>
        <w:rFonts w:ascii="Wingdings" w:hAnsi="Wingdings" w:hint="default"/>
      </w:rPr>
    </w:lvl>
    <w:lvl w:ilvl="3" w:tplc="26CA9050">
      <w:start w:val="1"/>
      <w:numFmt w:val="bullet"/>
      <w:lvlText w:val=""/>
      <w:lvlJc w:val="left"/>
      <w:pPr>
        <w:ind w:left="2880" w:hanging="360"/>
      </w:pPr>
      <w:rPr>
        <w:rFonts w:ascii="Symbol" w:hAnsi="Symbol" w:hint="default"/>
      </w:rPr>
    </w:lvl>
    <w:lvl w:ilvl="4" w:tplc="BD7A64FC">
      <w:start w:val="1"/>
      <w:numFmt w:val="bullet"/>
      <w:lvlText w:val="o"/>
      <w:lvlJc w:val="left"/>
      <w:pPr>
        <w:ind w:left="3600" w:hanging="360"/>
      </w:pPr>
      <w:rPr>
        <w:rFonts w:ascii="Courier New" w:hAnsi="Courier New" w:hint="default"/>
      </w:rPr>
    </w:lvl>
    <w:lvl w:ilvl="5" w:tplc="929ABB1E">
      <w:start w:val="1"/>
      <w:numFmt w:val="bullet"/>
      <w:lvlText w:val=""/>
      <w:lvlJc w:val="left"/>
      <w:pPr>
        <w:ind w:left="4320" w:hanging="360"/>
      </w:pPr>
      <w:rPr>
        <w:rFonts w:ascii="Wingdings" w:hAnsi="Wingdings" w:hint="default"/>
      </w:rPr>
    </w:lvl>
    <w:lvl w:ilvl="6" w:tplc="E9C4C928">
      <w:start w:val="1"/>
      <w:numFmt w:val="bullet"/>
      <w:lvlText w:val=""/>
      <w:lvlJc w:val="left"/>
      <w:pPr>
        <w:ind w:left="5040" w:hanging="360"/>
      </w:pPr>
      <w:rPr>
        <w:rFonts w:ascii="Symbol" w:hAnsi="Symbol" w:hint="default"/>
      </w:rPr>
    </w:lvl>
    <w:lvl w:ilvl="7" w:tplc="9A60E9EE">
      <w:start w:val="1"/>
      <w:numFmt w:val="bullet"/>
      <w:lvlText w:val="o"/>
      <w:lvlJc w:val="left"/>
      <w:pPr>
        <w:ind w:left="5760" w:hanging="360"/>
      </w:pPr>
      <w:rPr>
        <w:rFonts w:ascii="Courier New" w:hAnsi="Courier New" w:hint="default"/>
      </w:rPr>
    </w:lvl>
    <w:lvl w:ilvl="8" w:tplc="D07E0C00">
      <w:start w:val="1"/>
      <w:numFmt w:val="bullet"/>
      <w:lvlText w:val=""/>
      <w:lvlJc w:val="left"/>
      <w:pPr>
        <w:ind w:left="6480" w:hanging="360"/>
      </w:pPr>
      <w:rPr>
        <w:rFonts w:ascii="Wingdings" w:hAnsi="Wingdings" w:hint="default"/>
      </w:rPr>
    </w:lvl>
  </w:abstractNum>
  <w:abstractNum w:abstractNumId="2" w15:restartNumberingAfterBreak="0">
    <w:nsid w:val="04E76463"/>
    <w:multiLevelType w:val="multilevel"/>
    <w:tmpl w:val="D7C0788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D78A0"/>
    <w:multiLevelType w:val="hybridMultilevel"/>
    <w:tmpl w:val="77FC711E"/>
    <w:lvl w:ilvl="0" w:tplc="4F1C4820">
      <w:numFmt w:val="bullet"/>
      <w:lvlText w:val=""/>
      <w:lvlJc w:val="left"/>
      <w:pPr>
        <w:ind w:left="2496" w:hanging="360"/>
      </w:pPr>
      <w:rPr>
        <w:rFonts w:ascii="Symbol" w:eastAsia="Times New Roman" w:hAnsi="Symbol" w:cs="Aria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4" w15:restartNumberingAfterBreak="0">
    <w:nsid w:val="0A1C049D"/>
    <w:multiLevelType w:val="hybridMultilevel"/>
    <w:tmpl w:val="5150E184"/>
    <w:lvl w:ilvl="0" w:tplc="04160003">
      <w:start w:val="1"/>
      <w:numFmt w:val="bullet"/>
      <w:lvlText w:val="o"/>
      <w:lvlJc w:val="left"/>
      <w:pPr>
        <w:ind w:left="1800" w:hanging="360"/>
      </w:pPr>
      <w:rPr>
        <w:rFonts w:ascii="Courier New" w:hAnsi="Courier New" w:cs="Courier New"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15:restartNumberingAfterBreak="0">
    <w:nsid w:val="0B92A31B"/>
    <w:multiLevelType w:val="hybridMultilevel"/>
    <w:tmpl w:val="01B84D52"/>
    <w:lvl w:ilvl="0" w:tplc="D9BCA42A">
      <w:start w:val="1"/>
      <w:numFmt w:val="bullet"/>
      <w:lvlText w:val=""/>
      <w:lvlJc w:val="left"/>
      <w:pPr>
        <w:ind w:left="720" w:hanging="360"/>
      </w:pPr>
      <w:rPr>
        <w:rFonts w:ascii="Symbol" w:hAnsi="Symbol" w:hint="default"/>
      </w:rPr>
    </w:lvl>
    <w:lvl w:ilvl="1" w:tplc="809C6022">
      <w:start w:val="1"/>
      <w:numFmt w:val="bullet"/>
      <w:lvlText w:val="o"/>
      <w:lvlJc w:val="left"/>
      <w:pPr>
        <w:ind w:left="1440" w:hanging="360"/>
      </w:pPr>
      <w:rPr>
        <w:rFonts w:ascii="Courier New" w:hAnsi="Courier New" w:hint="default"/>
      </w:rPr>
    </w:lvl>
    <w:lvl w:ilvl="2" w:tplc="8E42E896">
      <w:start w:val="1"/>
      <w:numFmt w:val="bullet"/>
      <w:lvlText w:val=""/>
      <w:lvlJc w:val="left"/>
      <w:pPr>
        <w:ind w:left="2160" w:hanging="360"/>
      </w:pPr>
      <w:rPr>
        <w:rFonts w:ascii="Symbol" w:hAnsi="Symbol" w:hint="default"/>
      </w:rPr>
    </w:lvl>
    <w:lvl w:ilvl="3" w:tplc="4252C32A">
      <w:start w:val="1"/>
      <w:numFmt w:val="bullet"/>
      <w:lvlText w:val=""/>
      <w:lvlJc w:val="left"/>
      <w:pPr>
        <w:ind w:left="2880" w:hanging="360"/>
      </w:pPr>
      <w:rPr>
        <w:rFonts w:ascii="Symbol" w:hAnsi="Symbol" w:hint="default"/>
      </w:rPr>
    </w:lvl>
    <w:lvl w:ilvl="4" w:tplc="A4D65166">
      <w:start w:val="1"/>
      <w:numFmt w:val="bullet"/>
      <w:lvlText w:val="o"/>
      <w:lvlJc w:val="left"/>
      <w:pPr>
        <w:ind w:left="3600" w:hanging="360"/>
      </w:pPr>
      <w:rPr>
        <w:rFonts w:ascii="Courier New" w:hAnsi="Courier New" w:hint="default"/>
      </w:rPr>
    </w:lvl>
    <w:lvl w:ilvl="5" w:tplc="18480A3E">
      <w:start w:val="1"/>
      <w:numFmt w:val="bullet"/>
      <w:lvlText w:val=""/>
      <w:lvlJc w:val="left"/>
      <w:pPr>
        <w:ind w:left="4320" w:hanging="360"/>
      </w:pPr>
      <w:rPr>
        <w:rFonts w:ascii="Wingdings" w:hAnsi="Wingdings" w:hint="default"/>
      </w:rPr>
    </w:lvl>
    <w:lvl w:ilvl="6" w:tplc="46D6D89E">
      <w:start w:val="1"/>
      <w:numFmt w:val="bullet"/>
      <w:lvlText w:val=""/>
      <w:lvlJc w:val="left"/>
      <w:pPr>
        <w:ind w:left="5040" w:hanging="360"/>
      </w:pPr>
      <w:rPr>
        <w:rFonts w:ascii="Symbol" w:hAnsi="Symbol" w:hint="default"/>
      </w:rPr>
    </w:lvl>
    <w:lvl w:ilvl="7" w:tplc="DF3C9658">
      <w:start w:val="1"/>
      <w:numFmt w:val="bullet"/>
      <w:lvlText w:val="o"/>
      <w:lvlJc w:val="left"/>
      <w:pPr>
        <w:ind w:left="5760" w:hanging="360"/>
      </w:pPr>
      <w:rPr>
        <w:rFonts w:ascii="Courier New" w:hAnsi="Courier New" w:hint="default"/>
      </w:rPr>
    </w:lvl>
    <w:lvl w:ilvl="8" w:tplc="4C446556">
      <w:start w:val="1"/>
      <w:numFmt w:val="bullet"/>
      <w:lvlText w:val=""/>
      <w:lvlJc w:val="left"/>
      <w:pPr>
        <w:ind w:left="6480" w:hanging="360"/>
      </w:pPr>
      <w:rPr>
        <w:rFonts w:ascii="Wingdings" w:hAnsi="Wingdings" w:hint="default"/>
      </w:rPr>
    </w:lvl>
  </w:abstractNum>
  <w:abstractNum w:abstractNumId="6" w15:restartNumberingAfterBreak="0">
    <w:nsid w:val="0E609B36"/>
    <w:multiLevelType w:val="hybridMultilevel"/>
    <w:tmpl w:val="2C1A5034"/>
    <w:lvl w:ilvl="0" w:tplc="40E8867A">
      <w:start w:val="1"/>
      <w:numFmt w:val="bullet"/>
      <w:lvlText w:val=""/>
      <w:lvlJc w:val="left"/>
      <w:pPr>
        <w:ind w:left="720" w:hanging="360"/>
      </w:pPr>
      <w:rPr>
        <w:rFonts w:ascii="Symbol" w:hAnsi="Symbol" w:hint="default"/>
      </w:rPr>
    </w:lvl>
    <w:lvl w:ilvl="1" w:tplc="6F4C3C6C">
      <w:start w:val="1"/>
      <w:numFmt w:val="bullet"/>
      <w:lvlText w:val="o"/>
      <w:lvlJc w:val="left"/>
      <w:pPr>
        <w:ind w:left="1440" w:hanging="360"/>
      </w:pPr>
      <w:rPr>
        <w:rFonts w:ascii="Courier New" w:hAnsi="Courier New" w:hint="default"/>
      </w:rPr>
    </w:lvl>
    <w:lvl w:ilvl="2" w:tplc="5B821D12">
      <w:start w:val="1"/>
      <w:numFmt w:val="bullet"/>
      <w:lvlText w:val=""/>
      <w:lvlJc w:val="left"/>
      <w:pPr>
        <w:ind w:left="2160" w:hanging="360"/>
      </w:pPr>
      <w:rPr>
        <w:rFonts w:ascii="Symbol" w:hAnsi="Symbol" w:hint="default"/>
      </w:rPr>
    </w:lvl>
    <w:lvl w:ilvl="3" w:tplc="9FF61BEE">
      <w:start w:val="1"/>
      <w:numFmt w:val="bullet"/>
      <w:lvlText w:val=""/>
      <w:lvlJc w:val="left"/>
      <w:pPr>
        <w:ind w:left="2880" w:hanging="360"/>
      </w:pPr>
      <w:rPr>
        <w:rFonts w:ascii="Symbol" w:hAnsi="Symbol" w:hint="default"/>
      </w:rPr>
    </w:lvl>
    <w:lvl w:ilvl="4" w:tplc="CC405DD0">
      <w:start w:val="1"/>
      <w:numFmt w:val="bullet"/>
      <w:lvlText w:val="o"/>
      <w:lvlJc w:val="left"/>
      <w:pPr>
        <w:ind w:left="3600" w:hanging="360"/>
      </w:pPr>
      <w:rPr>
        <w:rFonts w:ascii="Courier New" w:hAnsi="Courier New" w:hint="default"/>
      </w:rPr>
    </w:lvl>
    <w:lvl w:ilvl="5" w:tplc="5B9E506E">
      <w:start w:val="1"/>
      <w:numFmt w:val="bullet"/>
      <w:lvlText w:val=""/>
      <w:lvlJc w:val="left"/>
      <w:pPr>
        <w:ind w:left="4320" w:hanging="360"/>
      </w:pPr>
      <w:rPr>
        <w:rFonts w:ascii="Wingdings" w:hAnsi="Wingdings" w:hint="default"/>
      </w:rPr>
    </w:lvl>
    <w:lvl w:ilvl="6" w:tplc="F4EE071E">
      <w:start w:val="1"/>
      <w:numFmt w:val="bullet"/>
      <w:lvlText w:val=""/>
      <w:lvlJc w:val="left"/>
      <w:pPr>
        <w:ind w:left="5040" w:hanging="360"/>
      </w:pPr>
      <w:rPr>
        <w:rFonts w:ascii="Symbol" w:hAnsi="Symbol" w:hint="default"/>
      </w:rPr>
    </w:lvl>
    <w:lvl w:ilvl="7" w:tplc="7744E5E0">
      <w:start w:val="1"/>
      <w:numFmt w:val="bullet"/>
      <w:lvlText w:val="o"/>
      <w:lvlJc w:val="left"/>
      <w:pPr>
        <w:ind w:left="5760" w:hanging="360"/>
      </w:pPr>
      <w:rPr>
        <w:rFonts w:ascii="Courier New" w:hAnsi="Courier New" w:hint="default"/>
      </w:rPr>
    </w:lvl>
    <w:lvl w:ilvl="8" w:tplc="89840668">
      <w:start w:val="1"/>
      <w:numFmt w:val="bullet"/>
      <w:lvlText w:val=""/>
      <w:lvlJc w:val="left"/>
      <w:pPr>
        <w:ind w:left="6480" w:hanging="360"/>
      </w:pPr>
      <w:rPr>
        <w:rFonts w:ascii="Wingdings" w:hAnsi="Wingdings" w:hint="default"/>
      </w:rPr>
    </w:lvl>
  </w:abstractNum>
  <w:abstractNum w:abstractNumId="7" w15:restartNumberingAfterBreak="0">
    <w:nsid w:val="0EE33DD5"/>
    <w:multiLevelType w:val="hybridMultilevel"/>
    <w:tmpl w:val="D5DE4478"/>
    <w:lvl w:ilvl="0" w:tplc="3498224C">
      <w:start w:val="1"/>
      <w:numFmt w:val="bullet"/>
      <w:lvlText w:val=""/>
      <w:lvlJc w:val="left"/>
      <w:pPr>
        <w:ind w:left="1860" w:hanging="360"/>
      </w:pPr>
      <w:rPr>
        <w:rFonts w:ascii="Symbol" w:hAnsi="Symbol" w:hint="default"/>
        <w:color w:val="auto"/>
      </w:rPr>
    </w:lvl>
    <w:lvl w:ilvl="1" w:tplc="28361AAA">
      <w:start w:val="1"/>
      <w:numFmt w:val="bullet"/>
      <w:lvlText w:val=""/>
      <w:lvlJc w:val="left"/>
      <w:pPr>
        <w:ind w:left="2580" w:hanging="360"/>
      </w:pPr>
      <w:rPr>
        <w:rFonts w:ascii="Symbol" w:hAnsi="Symbol" w:hint="default"/>
        <w:color w:val="auto"/>
      </w:rPr>
    </w:lvl>
    <w:lvl w:ilvl="2" w:tplc="28361AAA">
      <w:start w:val="1"/>
      <w:numFmt w:val="bullet"/>
      <w:lvlText w:val=""/>
      <w:lvlJc w:val="left"/>
      <w:pPr>
        <w:ind w:left="3300" w:hanging="360"/>
      </w:pPr>
      <w:rPr>
        <w:rFonts w:ascii="Symbol" w:hAnsi="Symbol" w:hint="default"/>
        <w:color w:val="auto"/>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8" w15:restartNumberingAfterBreak="0">
    <w:nsid w:val="0F2C2D94"/>
    <w:multiLevelType w:val="multilevel"/>
    <w:tmpl w:val="A72E24B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92F"/>
    <w:multiLevelType w:val="hybridMultilevel"/>
    <w:tmpl w:val="C44ACBFE"/>
    <w:lvl w:ilvl="0" w:tplc="4F447386">
      <w:start w:val="1"/>
      <w:numFmt w:val="bullet"/>
      <w:lvlText w:val=""/>
      <w:lvlJc w:val="left"/>
      <w:pPr>
        <w:ind w:left="1920" w:hanging="360"/>
      </w:pPr>
      <w:rPr>
        <w:rFonts w:ascii="Symbol" w:hAnsi="Symbol" w:hint="default"/>
        <w:color w:val="FF0000"/>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10" w15:restartNumberingAfterBreak="0">
    <w:nsid w:val="1015206F"/>
    <w:multiLevelType w:val="hybridMultilevel"/>
    <w:tmpl w:val="9A9CEDDE"/>
    <w:lvl w:ilvl="0" w:tplc="4F1C4820">
      <w:numFmt w:val="bullet"/>
      <w:lvlText w:val=""/>
      <w:lvlJc w:val="left"/>
      <w:pPr>
        <w:ind w:left="2496" w:hanging="360"/>
      </w:pPr>
      <w:rPr>
        <w:rFonts w:ascii="Symbol" w:eastAsia="Times New Roman" w:hAnsi="Symbol" w:cs="Aria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11" w15:restartNumberingAfterBreak="0">
    <w:nsid w:val="15DB179A"/>
    <w:multiLevelType w:val="hybridMultilevel"/>
    <w:tmpl w:val="137851AA"/>
    <w:lvl w:ilvl="0" w:tplc="041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1A97516F"/>
    <w:multiLevelType w:val="hybridMultilevel"/>
    <w:tmpl w:val="B9DA828C"/>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3" w15:restartNumberingAfterBreak="0">
    <w:nsid w:val="259B523F"/>
    <w:multiLevelType w:val="multilevel"/>
    <w:tmpl w:val="695E90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43457"/>
    <w:multiLevelType w:val="multilevel"/>
    <w:tmpl w:val="944460F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9507C"/>
    <w:multiLevelType w:val="multilevel"/>
    <w:tmpl w:val="88A82E3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94A2C"/>
    <w:multiLevelType w:val="hybridMultilevel"/>
    <w:tmpl w:val="A22CF65A"/>
    <w:lvl w:ilvl="0" w:tplc="4F1C4820">
      <w:numFmt w:val="bullet"/>
      <w:lvlText w:val=""/>
      <w:lvlJc w:val="left"/>
      <w:pPr>
        <w:ind w:left="4632" w:hanging="360"/>
      </w:pPr>
      <w:rPr>
        <w:rFonts w:ascii="Symbol" w:eastAsia="Times New Roman" w:hAnsi="Symbol" w:cs="Arial"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17" w15:restartNumberingAfterBreak="0">
    <w:nsid w:val="30FD1273"/>
    <w:multiLevelType w:val="hybridMultilevel"/>
    <w:tmpl w:val="19344462"/>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8" w15:restartNumberingAfterBreak="0">
    <w:nsid w:val="3263A627"/>
    <w:multiLevelType w:val="hybridMultilevel"/>
    <w:tmpl w:val="42B0D3D4"/>
    <w:lvl w:ilvl="0" w:tplc="F1140F18">
      <w:start w:val="1"/>
      <w:numFmt w:val="bullet"/>
      <w:lvlText w:val=""/>
      <w:lvlJc w:val="left"/>
      <w:pPr>
        <w:ind w:left="720" w:hanging="360"/>
      </w:pPr>
      <w:rPr>
        <w:rFonts w:ascii="Symbol" w:hAnsi="Symbol" w:hint="default"/>
      </w:rPr>
    </w:lvl>
    <w:lvl w:ilvl="1" w:tplc="8EB2D94E">
      <w:start w:val="1"/>
      <w:numFmt w:val="bullet"/>
      <w:lvlText w:val="o"/>
      <w:lvlJc w:val="left"/>
      <w:pPr>
        <w:ind w:left="1440" w:hanging="360"/>
      </w:pPr>
      <w:rPr>
        <w:rFonts w:ascii="Courier New" w:hAnsi="Courier New" w:hint="default"/>
      </w:rPr>
    </w:lvl>
    <w:lvl w:ilvl="2" w:tplc="13726326">
      <w:start w:val="1"/>
      <w:numFmt w:val="bullet"/>
      <w:lvlText w:val=""/>
      <w:lvlJc w:val="left"/>
      <w:pPr>
        <w:ind w:left="2160" w:hanging="360"/>
      </w:pPr>
      <w:rPr>
        <w:rFonts w:ascii="Wingdings" w:hAnsi="Wingdings" w:hint="default"/>
      </w:rPr>
    </w:lvl>
    <w:lvl w:ilvl="3" w:tplc="000ACC7C">
      <w:start w:val="1"/>
      <w:numFmt w:val="bullet"/>
      <w:lvlText w:val=""/>
      <w:lvlJc w:val="left"/>
      <w:pPr>
        <w:ind w:left="2880" w:hanging="360"/>
      </w:pPr>
      <w:rPr>
        <w:rFonts w:ascii="Symbol" w:hAnsi="Symbol" w:hint="default"/>
      </w:rPr>
    </w:lvl>
    <w:lvl w:ilvl="4" w:tplc="5C8486C2">
      <w:start w:val="1"/>
      <w:numFmt w:val="bullet"/>
      <w:lvlText w:val="o"/>
      <w:lvlJc w:val="left"/>
      <w:pPr>
        <w:ind w:left="3600" w:hanging="360"/>
      </w:pPr>
      <w:rPr>
        <w:rFonts w:ascii="Courier New" w:hAnsi="Courier New" w:hint="default"/>
      </w:rPr>
    </w:lvl>
    <w:lvl w:ilvl="5" w:tplc="6B145288">
      <w:start w:val="1"/>
      <w:numFmt w:val="bullet"/>
      <w:lvlText w:val=""/>
      <w:lvlJc w:val="left"/>
      <w:pPr>
        <w:ind w:left="4320" w:hanging="360"/>
      </w:pPr>
      <w:rPr>
        <w:rFonts w:ascii="Wingdings" w:hAnsi="Wingdings" w:hint="default"/>
      </w:rPr>
    </w:lvl>
    <w:lvl w:ilvl="6" w:tplc="81E6D87A">
      <w:start w:val="1"/>
      <w:numFmt w:val="bullet"/>
      <w:lvlText w:val=""/>
      <w:lvlJc w:val="left"/>
      <w:pPr>
        <w:ind w:left="5040" w:hanging="360"/>
      </w:pPr>
      <w:rPr>
        <w:rFonts w:ascii="Symbol" w:hAnsi="Symbol" w:hint="default"/>
      </w:rPr>
    </w:lvl>
    <w:lvl w:ilvl="7" w:tplc="3A5C639E">
      <w:start w:val="1"/>
      <w:numFmt w:val="bullet"/>
      <w:lvlText w:val="o"/>
      <w:lvlJc w:val="left"/>
      <w:pPr>
        <w:ind w:left="5760" w:hanging="360"/>
      </w:pPr>
      <w:rPr>
        <w:rFonts w:ascii="Courier New" w:hAnsi="Courier New" w:hint="default"/>
      </w:rPr>
    </w:lvl>
    <w:lvl w:ilvl="8" w:tplc="3B3E36CC">
      <w:start w:val="1"/>
      <w:numFmt w:val="bullet"/>
      <w:lvlText w:val=""/>
      <w:lvlJc w:val="left"/>
      <w:pPr>
        <w:ind w:left="6480" w:hanging="360"/>
      </w:pPr>
      <w:rPr>
        <w:rFonts w:ascii="Wingdings" w:hAnsi="Wingdings" w:hint="default"/>
      </w:rPr>
    </w:lvl>
  </w:abstractNum>
  <w:abstractNum w:abstractNumId="19" w15:restartNumberingAfterBreak="0">
    <w:nsid w:val="36360CE2"/>
    <w:multiLevelType w:val="hybridMultilevel"/>
    <w:tmpl w:val="33942774"/>
    <w:lvl w:ilvl="0" w:tplc="E7961E20">
      <w:start w:val="1"/>
      <w:numFmt w:val="bullet"/>
      <w:lvlText w:val=""/>
      <w:lvlJc w:val="left"/>
      <w:pPr>
        <w:ind w:left="720" w:hanging="360"/>
      </w:pPr>
      <w:rPr>
        <w:rFonts w:ascii="Symbol" w:hAnsi="Symbol" w:hint="default"/>
      </w:rPr>
    </w:lvl>
    <w:lvl w:ilvl="1" w:tplc="323C97FE">
      <w:start w:val="1"/>
      <w:numFmt w:val="bullet"/>
      <w:lvlText w:val="o"/>
      <w:lvlJc w:val="left"/>
      <w:pPr>
        <w:ind w:left="1440" w:hanging="360"/>
      </w:pPr>
      <w:rPr>
        <w:rFonts w:ascii="Courier New" w:hAnsi="Courier New" w:hint="default"/>
      </w:rPr>
    </w:lvl>
    <w:lvl w:ilvl="2" w:tplc="5A0A9E5A">
      <w:start w:val="1"/>
      <w:numFmt w:val="bullet"/>
      <w:lvlText w:val=""/>
      <w:lvlJc w:val="left"/>
      <w:pPr>
        <w:ind w:left="2160" w:hanging="360"/>
      </w:pPr>
      <w:rPr>
        <w:rFonts w:ascii="Wingdings" w:hAnsi="Wingdings" w:hint="default"/>
      </w:rPr>
    </w:lvl>
    <w:lvl w:ilvl="3" w:tplc="5194F94E">
      <w:start w:val="1"/>
      <w:numFmt w:val="bullet"/>
      <w:lvlText w:val=""/>
      <w:lvlJc w:val="left"/>
      <w:pPr>
        <w:ind w:left="2880" w:hanging="360"/>
      </w:pPr>
      <w:rPr>
        <w:rFonts w:ascii="Symbol" w:hAnsi="Symbol" w:hint="default"/>
      </w:rPr>
    </w:lvl>
    <w:lvl w:ilvl="4" w:tplc="EEA86CC0">
      <w:start w:val="1"/>
      <w:numFmt w:val="bullet"/>
      <w:lvlText w:val="o"/>
      <w:lvlJc w:val="left"/>
      <w:pPr>
        <w:ind w:left="3600" w:hanging="360"/>
      </w:pPr>
      <w:rPr>
        <w:rFonts w:ascii="Courier New" w:hAnsi="Courier New" w:hint="default"/>
      </w:rPr>
    </w:lvl>
    <w:lvl w:ilvl="5" w:tplc="8F0C3FE2">
      <w:start w:val="1"/>
      <w:numFmt w:val="bullet"/>
      <w:lvlText w:val=""/>
      <w:lvlJc w:val="left"/>
      <w:pPr>
        <w:ind w:left="4320" w:hanging="360"/>
      </w:pPr>
      <w:rPr>
        <w:rFonts w:ascii="Wingdings" w:hAnsi="Wingdings" w:hint="default"/>
      </w:rPr>
    </w:lvl>
    <w:lvl w:ilvl="6" w:tplc="259C49F0">
      <w:start w:val="1"/>
      <w:numFmt w:val="bullet"/>
      <w:lvlText w:val=""/>
      <w:lvlJc w:val="left"/>
      <w:pPr>
        <w:ind w:left="5040" w:hanging="360"/>
      </w:pPr>
      <w:rPr>
        <w:rFonts w:ascii="Symbol" w:hAnsi="Symbol" w:hint="default"/>
      </w:rPr>
    </w:lvl>
    <w:lvl w:ilvl="7" w:tplc="FC1A10E0">
      <w:start w:val="1"/>
      <w:numFmt w:val="bullet"/>
      <w:lvlText w:val="o"/>
      <w:lvlJc w:val="left"/>
      <w:pPr>
        <w:ind w:left="5760" w:hanging="360"/>
      </w:pPr>
      <w:rPr>
        <w:rFonts w:ascii="Courier New" w:hAnsi="Courier New" w:hint="default"/>
      </w:rPr>
    </w:lvl>
    <w:lvl w:ilvl="8" w:tplc="E73A4B0A">
      <w:start w:val="1"/>
      <w:numFmt w:val="bullet"/>
      <w:lvlText w:val=""/>
      <w:lvlJc w:val="left"/>
      <w:pPr>
        <w:ind w:left="6480" w:hanging="360"/>
      </w:pPr>
      <w:rPr>
        <w:rFonts w:ascii="Wingdings" w:hAnsi="Wingdings" w:hint="default"/>
      </w:rPr>
    </w:lvl>
  </w:abstractNum>
  <w:abstractNum w:abstractNumId="20" w15:restartNumberingAfterBreak="0">
    <w:nsid w:val="3D9F2E8D"/>
    <w:multiLevelType w:val="hybridMultilevel"/>
    <w:tmpl w:val="2F30C0BA"/>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1" w15:restartNumberingAfterBreak="0">
    <w:nsid w:val="442452ED"/>
    <w:multiLevelType w:val="hybridMultilevel"/>
    <w:tmpl w:val="0FAEE182"/>
    <w:lvl w:ilvl="0" w:tplc="04160001">
      <w:start w:val="1"/>
      <w:numFmt w:val="bullet"/>
      <w:lvlText w:val=""/>
      <w:lvlJc w:val="left"/>
      <w:pPr>
        <w:ind w:left="2856" w:hanging="360"/>
      </w:pPr>
      <w:rPr>
        <w:rFonts w:ascii="Symbol" w:hAnsi="Symbol"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tentative="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22" w15:restartNumberingAfterBreak="0">
    <w:nsid w:val="45E06698"/>
    <w:multiLevelType w:val="hybridMultilevel"/>
    <w:tmpl w:val="060A2C3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3" w15:restartNumberingAfterBreak="0">
    <w:nsid w:val="468E05FD"/>
    <w:multiLevelType w:val="multilevel"/>
    <w:tmpl w:val="47FAC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8A1BB7"/>
    <w:multiLevelType w:val="hybridMultilevel"/>
    <w:tmpl w:val="B5C4B1B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5" w15:restartNumberingAfterBreak="0">
    <w:nsid w:val="4C7B3B24"/>
    <w:multiLevelType w:val="multilevel"/>
    <w:tmpl w:val="C6D8DAA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AC0673"/>
    <w:multiLevelType w:val="hybridMultilevel"/>
    <w:tmpl w:val="96EEAC9A"/>
    <w:lvl w:ilvl="0" w:tplc="04160003">
      <w:start w:val="1"/>
      <w:numFmt w:val="bullet"/>
      <w:lvlText w:val="o"/>
      <w:lvlJc w:val="left"/>
      <w:pPr>
        <w:ind w:left="720" w:hanging="360"/>
      </w:pPr>
      <w:rPr>
        <w:rFonts w:ascii="Courier New" w:hAnsi="Courier New" w:cs="Courier New"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0A0634"/>
    <w:multiLevelType w:val="hybridMultilevel"/>
    <w:tmpl w:val="6EC052EC"/>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8" w15:restartNumberingAfterBreak="0">
    <w:nsid w:val="6496B715"/>
    <w:multiLevelType w:val="hybridMultilevel"/>
    <w:tmpl w:val="D87A6CA2"/>
    <w:lvl w:ilvl="0" w:tplc="22624F88">
      <w:start w:val="1"/>
      <w:numFmt w:val="bullet"/>
      <w:lvlText w:val="·"/>
      <w:lvlJc w:val="left"/>
      <w:pPr>
        <w:ind w:left="720" w:hanging="360"/>
      </w:pPr>
      <w:rPr>
        <w:rFonts w:ascii="Symbol" w:hAnsi="Symbol" w:hint="default"/>
      </w:rPr>
    </w:lvl>
    <w:lvl w:ilvl="1" w:tplc="6D060946">
      <w:start w:val="1"/>
      <w:numFmt w:val="bullet"/>
      <w:lvlText w:val="o"/>
      <w:lvlJc w:val="left"/>
      <w:pPr>
        <w:ind w:left="1440" w:hanging="360"/>
      </w:pPr>
      <w:rPr>
        <w:rFonts w:ascii="Courier New" w:hAnsi="Courier New" w:hint="default"/>
      </w:rPr>
    </w:lvl>
    <w:lvl w:ilvl="2" w:tplc="20E41FF2">
      <w:start w:val="1"/>
      <w:numFmt w:val="bullet"/>
      <w:lvlText w:val=""/>
      <w:lvlJc w:val="left"/>
      <w:pPr>
        <w:ind w:left="2160" w:hanging="360"/>
      </w:pPr>
      <w:rPr>
        <w:rFonts w:ascii="Wingdings" w:hAnsi="Wingdings" w:hint="default"/>
      </w:rPr>
    </w:lvl>
    <w:lvl w:ilvl="3" w:tplc="DD7C7856">
      <w:start w:val="1"/>
      <w:numFmt w:val="bullet"/>
      <w:lvlText w:val=""/>
      <w:lvlJc w:val="left"/>
      <w:pPr>
        <w:ind w:left="2880" w:hanging="360"/>
      </w:pPr>
      <w:rPr>
        <w:rFonts w:ascii="Symbol" w:hAnsi="Symbol" w:hint="default"/>
      </w:rPr>
    </w:lvl>
    <w:lvl w:ilvl="4" w:tplc="F446BCA8">
      <w:start w:val="1"/>
      <w:numFmt w:val="bullet"/>
      <w:lvlText w:val="o"/>
      <w:lvlJc w:val="left"/>
      <w:pPr>
        <w:ind w:left="3600" w:hanging="360"/>
      </w:pPr>
      <w:rPr>
        <w:rFonts w:ascii="Courier New" w:hAnsi="Courier New" w:hint="default"/>
      </w:rPr>
    </w:lvl>
    <w:lvl w:ilvl="5" w:tplc="0DF6E528">
      <w:start w:val="1"/>
      <w:numFmt w:val="bullet"/>
      <w:lvlText w:val=""/>
      <w:lvlJc w:val="left"/>
      <w:pPr>
        <w:ind w:left="4320" w:hanging="360"/>
      </w:pPr>
      <w:rPr>
        <w:rFonts w:ascii="Wingdings" w:hAnsi="Wingdings" w:hint="default"/>
      </w:rPr>
    </w:lvl>
    <w:lvl w:ilvl="6" w:tplc="ACB084AA">
      <w:start w:val="1"/>
      <w:numFmt w:val="bullet"/>
      <w:lvlText w:val=""/>
      <w:lvlJc w:val="left"/>
      <w:pPr>
        <w:ind w:left="5040" w:hanging="360"/>
      </w:pPr>
      <w:rPr>
        <w:rFonts w:ascii="Symbol" w:hAnsi="Symbol" w:hint="default"/>
      </w:rPr>
    </w:lvl>
    <w:lvl w:ilvl="7" w:tplc="E59C4104">
      <w:start w:val="1"/>
      <w:numFmt w:val="bullet"/>
      <w:lvlText w:val="o"/>
      <w:lvlJc w:val="left"/>
      <w:pPr>
        <w:ind w:left="5760" w:hanging="360"/>
      </w:pPr>
      <w:rPr>
        <w:rFonts w:ascii="Courier New" w:hAnsi="Courier New" w:hint="default"/>
      </w:rPr>
    </w:lvl>
    <w:lvl w:ilvl="8" w:tplc="A8AEC764">
      <w:start w:val="1"/>
      <w:numFmt w:val="bullet"/>
      <w:lvlText w:val=""/>
      <w:lvlJc w:val="left"/>
      <w:pPr>
        <w:ind w:left="6480" w:hanging="360"/>
      </w:pPr>
      <w:rPr>
        <w:rFonts w:ascii="Wingdings" w:hAnsi="Wingdings" w:hint="default"/>
      </w:rPr>
    </w:lvl>
  </w:abstractNum>
  <w:abstractNum w:abstractNumId="29" w15:restartNumberingAfterBreak="0">
    <w:nsid w:val="654558E7"/>
    <w:multiLevelType w:val="hybridMultilevel"/>
    <w:tmpl w:val="4B52DF54"/>
    <w:lvl w:ilvl="0" w:tplc="28361AAA">
      <w:start w:val="1"/>
      <w:numFmt w:val="bullet"/>
      <w:lvlText w:val=""/>
      <w:lvlJc w:val="left"/>
      <w:pPr>
        <w:ind w:left="2130" w:hanging="360"/>
      </w:pPr>
      <w:rPr>
        <w:rFonts w:ascii="Symbol" w:hAnsi="Symbol" w:hint="default"/>
        <w:color w:val="auto"/>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30" w15:restartNumberingAfterBreak="0">
    <w:nsid w:val="6EFD306C"/>
    <w:multiLevelType w:val="hybridMultilevel"/>
    <w:tmpl w:val="C428BD16"/>
    <w:lvl w:ilvl="0" w:tplc="04160001">
      <w:start w:val="1"/>
      <w:numFmt w:val="bullet"/>
      <w:lvlText w:val=""/>
      <w:lvlJc w:val="left"/>
      <w:pPr>
        <w:ind w:left="2856" w:hanging="360"/>
      </w:pPr>
      <w:rPr>
        <w:rFonts w:ascii="Symbol" w:hAnsi="Symbol"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tentative="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31" w15:restartNumberingAfterBreak="0">
    <w:nsid w:val="6F06AE84"/>
    <w:multiLevelType w:val="hybridMultilevel"/>
    <w:tmpl w:val="8FD8E326"/>
    <w:lvl w:ilvl="0" w:tplc="D8328D7A">
      <w:start w:val="1"/>
      <w:numFmt w:val="bullet"/>
      <w:lvlText w:val=""/>
      <w:lvlJc w:val="left"/>
      <w:pPr>
        <w:ind w:left="720" w:hanging="360"/>
      </w:pPr>
      <w:rPr>
        <w:rFonts w:ascii="Symbol" w:hAnsi="Symbol" w:hint="default"/>
      </w:rPr>
    </w:lvl>
    <w:lvl w:ilvl="1" w:tplc="2886F9D6">
      <w:start w:val="1"/>
      <w:numFmt w:val="bullet"/>
      <w:lvlText w:val="o"/>
      <w:lvlJc w:val="left"/>
      <w:pPr>
        <w:ind w:left="1440" w:hanging="360"/>
      </w:pPr>
      <w:rPr>
        <w:rFonts w:ascii="Courier New" w:hAnsi="Courier New" w:hint="default"/>
      </w:rPr>
    </w:lvl>
    <w:lvl w:ilvl="2" w:tplc="099049D2">
      <w:start w:val="1"/>
      <w:numFmt w:val="bullet"/>
      <w:lvlText w:val=""/>
      <w:lvlJc w:val="left"/>
      <w:pPr>
        <w:ind w:left="2160" w:hanging="360"/>
      </w:pPr>
      <w:rPr>
        <w:rFonts w:ascii="Wingdings" w:hAnsi="Wingdings" w:hint="default"/>
      </w:rPr>
    </w:lvl>
    <w:lvl w:ilvl="3" w:tplc="9538EB18">
      <w:start w:val="1"/>
      <w:numFmt w:val="bullet"/>
      <w:lvlText w:val=""/>
      <w:lvlJc w:val="left"/>
      <w:pPr>
        <w:ind w:left="2880" w:hanging="360"/>
      </w:pPr>
      <w:rPr>
        <w:rFonts w:ascii="Symbol" w:hAnsi="Symbol" w:hint="default"/>
      </w:rPr>
    </w:lvl>
    <w:lvl w:ilvl="4" w:tplc="7ABCDD9A">
      <w:start w:val="1"/>
      <w:numFmt w:val="bullet"/>
      <w:lvlText w:val="o"/>
      <w:lvlJc w:val="left"/>
      <w:pPr>
        <w:ind w:left="3600" w:hanging="360"/>
      </w:pPr>
      <w:rPr>
        <w:rFonts w:ascii="Courier New" w:hAnsi="Courier New" w:hint="default"/>
      </w:rPr>
    </w:lvl>
    <w:lvl w:ilvl="5" w:tplc="FD7E660E">
      <w:start w:val="1"/>
      <w:numFmt w:val="bullet"/>
      <w:lvlText w:val=""/>
      <w:lvlJc w:val="left"/>
      <w:pPr>
        <w:ind w:left="4320" w:hanging="360"/>
      </w:pPr>
      <w:rPr>
        <w:rFonts w:ascii="Wingdings" w:hAnsi="Wingdings" w:hint="default"/>
      </w:rPr>
    </w:lvl>
    <w:lvl w:ilvl="6" w:tplc="BF140EF2">
      <w:start w:val="1"/>
      <w:numFmt w:val="bullet"/>
      <w:lvlText w:val=""/>
      <w:lvlJc w:val="left"/>
      <w:pPr>
        <w:ind w:left="5040" w:hanging="360"/>
      </w:pPr>
      <w:rPr>
        <w:rFonts w:ascii="Symbol" w:hAnsi="Symbol" w:hint="default"/>
      </w:rPr>
    </w:lvl>
    <w:lvl w:ilvl="7" w:tplc="A134B340">
      <w:start w:val="1"/>
      <w:numFmt w:val="bullet"/>
      <w:lvlText w:val="o"/>
      <w:lvlJc w:val="left"/>
      <w:pPr>
        <w:ind w:left="5760" w:hanging="360"/>
      </w:pPr>
      <w:rPr>
        <w:rFonts w:ascii="Courier New" w:hAnsi="Courier New" w:hint="default"/>
      </w:rPr>
    </w:lvl>
    <w:lvl w:ilvl="8" w:tplc="1F288696">
      <w:start w:val="1"/>
      <w:numFmt w:val="bullet"/>
      <w:lvlText w:val=""/>
      <w:lvlJc w:val="left"/>
      <w:pPr>
        <w:ind w:left="6480" w:hanging="360"/>
      </w:pPr>
      <w:rPr>
        <w:rFonts w:ascii="Wingdings" w:hAnsi="Wingdings" w:hint="default"/>
      </w:rPr>
    </w:lvl>
  </w:abstractNum>
  <w:abstractNum w:abstractNumId="32" w15:restartNumberingAfterBreak="0">
    <w:nsid w:val="7034A89E"/>
    <w:multiLevelType w:val="multilevel"/>
    <w:tmpl w:val="C8EA6A2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4F4E67"/>
    <w:multiLevelType w:val="hybridMultilevel"/>
    <w:tmpl w:val="4F2002AC"/>
    <w:lvl w:ilvl="0" w:tplc="D07E0014">
      <w:start w:val="1"/>
      <w:numFmt w:val="bullet"/>
      <w:lvlText w:val=""/>
      <w:lvlJc w:val="left"/>
      <w:pPr>
        <w:ind w:left="720" w:hanging="360"/>
      </w:pPr>
      <w:rPr>
        <w:rFonts w:ascii="Symbol" w:hAnsi="Symbol" w:hint="default"/>
      </w:rPr>
    </w:lvl>
    <w:lvl w:ilvl="1" w:tplc="6D3ACFDE">
      <w:start w:val="1"/>
      <w:numFmt w:val="bullet"/>
      <w:lvlText w:val="o"/>
      <w:lvlJc w:val="left"/>
      <w:pPr>
        <w:ind w:left="1440" w:hanging="360"/>
      </w:pPr>
      <w:rPr>
        <w:rFonts w:ascii="Courier New" w:hAnsi="Courier New" w:hint="default"/>
      </w:rPr>
    </w:lvl>
    <w:lvl w:ilvl="2" w:tplc="007E256C">
      <w:start w:val="1"/>
      <w:numFmt w:val="bullet"/>
      <w:lvlText w:val=""/>
      <w:lvlJc w:val="left"/>
      <w:pPr>
        <w:ind w:left="2160" w:hanging="360"/>
      </w:pPr>
      <w:rPr>
        <w:rFonts w:ascii="Wingdings" w:hAnsi="Wingdings" w:hint="default"/>
      </w:rPr>
    </w:lvl>
    <w:lvl w:ilvl="3" w:tplc="F64C58FA">
      <w:start w:val="1"/>
      <w:numFmt w:val="bullet"/>
      <w:lvlText w:val=""/>
      <w:lvlJc w:val="left"/>
      <w:pPr>
        <w:ind w:left="2880" w:hanging="360"/>
      </w:pPr>
      <w:rPr>
        <w:rFonts w:ascii="Symbol" w:hAnsi="Symbol" w:hint="default"/>
      </w:rPr>
    </w:lvl>
    <w:lvl w:ilvl="4" w:tplc="0958F746">
      <w:start w:val="1"/>
      <w:numFmt w:val="bullet"/>
      <w:lvlText w:val="o"/>
      <w:lvlJc w:val="left"/>
      <w:pPr>
        <w:ind w:left="3600" w:hanging="360"/>
      </w:pPr>
      <w:rPr>
        <w:rFonts w:ascii="Courier New" w:hAnsi="Courier New" w:hint="default"/>
      </w:rPr>
    </w:lvl>
    <w:lvl w:ilvl="5" w:tplc="DE22371E">
      <w:start w:val="1"/>
      <w:numFmt w:val="bullet"/>
      <w:lvlText w:val=""/>
      <w:lvlJc w:val="left"/>
      <w:pPr>
        <w:ind w:left="4320" w:hanging="360"/>
      </w:pPr>
      <w:rPr>
        <w:rFonts w:ascii="Wingdings" w:hAnsi="Wingdings" w:hint="default"/>
      </w:rPr>
    </w:lvl>
    <w:lvl w:ilvl="6" w:tplc="D7EAD8CC">
      <w:start w:val="1"/>
      <w:numFmt w:val="bullet"/>
      <w:lvlText w:val=""/>
      <w:lvlJc w:val="left"/>
      <w:pPr>
        <w:ind w:left="5040" w:hanging="360"/>
      </w:pPr>
      <w:rPr>
        <w:rFonts w:ascii="Symbol" w:hAnsi="Symbol" w:hint="default"/>
      </w:rPr>
    </w:lvl>
    <w:lvl w:ilvl="7" w:tplc="93467E24">
      <w:start w:val="1"/>
      <w:numFmt w:val="bullet"/>
      <w:lvlText w:val="o"/>
      <w:lvlJc w:val="left"/>
      <w:pPr>
        <w:ind w:left="5760" w:hanging="360"/>
      </w:pPr>
      <w:rPr>
        <w:rFonts w:ascii="Courier New" w:hAnsi="Courier New" w:hint="default"/>
      </w:rPr>
    </w:lvl>
    <w:lvl w:ilvl="8" w:tplc="8E74606C">
      <w:start w:val="1"/>
      <w:numFmt w:val="bullet"/>
      <w:lvlText w:val=""/>
      <w:lvlJc w:val="left"/>
      <w:pPr>
        <w:ind w:left="6480" w:hanging="360"/>
      </w:pPr>
      <w:rPr>
        <w:rFonts w:ascii="Wingdings" w:hAnsi="Wingdings" w:hint="default"/>
      </w:rPr>
    </w:lvl>
  </w:abstractNum>
  <w:abstractNum w:abstractNumId="34" w15:restartNumberingAfterBreak="0">
    <w:nsid w:val="7E281649"/>
    <w:multiLevelType w:val="hybridMultilevel"/>
    <w:tmpl w:val="9C481210"/>
    <w:lvl w:ilvl="0" w:tplc="04160001">
      <w:numFmt w:val="bullet"/>
      <w:lvlText w:val=""/>
      <w:lvlJc w:val="left"/>
      <w:pPr>
        <w:ind w:left="2136" w:hanging="360"/>
      </w:pPr>
      <w:rPr>
        <w:rFonts w:ascii="Symbol" w:eastAsia="Times New Roman" w:hAnsi="Symbol" w:cs="Times New Roman"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5" w15:restartNumberingAfterBreak="0">
    <w:nsid w:val="7F327724"/>
    <w:multiLevelType w:val="hybridMultilevel"/>
    <w:tmpl w:val="F0A225CA"/>
    <w:lvl w:ilvl="0" w:tplc="31DADB06">
      <w:start w:val="1"/>
      <w:numFmt w:val="bullet"/>
      <w:lvlText w:val=""/>
      <w:lvlJc w:val="left"/>
      <w:pPr>
        <w:ind w:left="720"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31"/>
  </w:num>
  <w:num w:numId="4">
    <w:abstractNumId w:val="0"/>
  </w:num>
  <w:num w:numId="5">
    <w:abstractNumId w:val="1"/>
  </w:num>
  <w:num w:numId="6">
    <w:abstractNumId w:val="32"/>
  </w:num>
  <w:num w:numId="7">
    <w:abstractNumId w:val="14"/>
  </w:num>
  <w:num w:numId="8">
    <w:abstractNumId w:val="2"/>
  </w:num>
  <w:num w:numId="9">
    <w:abstractNumId w:val="8"/>
  </w:num>
  <w:num w:numId="10">
    <w:abstractNumId w:val="25"/>
  </w:num>
  <w:num w:numId="11">
    <w:abstractNumId w:val="15"/>
  </w:num>
  <w:num w:numId="12">
    <w:abstractNumId w:val="5"/>
  </w:num>
  <w:num w:numId="13">
    <w:abstractNumId w:val="19"/>
  </w:num>
  <w:num w:numId="14">
    <w:abstractNumId w:val="6"/>
  </w:num>
  <w:num w:numId="15">
    <w:abstractNumId w:val="33"/>
  </w:num>
  <w:num w:numId="16">
    <w:abstractNumId w:val="22"/>
  </w:num>
  <w:num w:numId="17">
    <w:abstractNumId w:val="35"/>
  </w:num>
  <w:num w:numId="18">
    <w:abstractNumId w:val="23"/>
  </w:num>
  <w:num w:numId="19">
    <w:abstractNumId w:val="13"/>
  </w:num>
  <w:num w:numId="20">
    <w:abstractNumId w:val="26"/>
  </w:num>
  <w:num w:numId="21">
    <w:abstractNumId w:val="4"/>
  </w:num>
  <w:num w:numId="22">
    <w:abstractNumId w:val="11"/>
  </w:num>
  <w:num w:numId="23">
    <w:abstractNumId w:val="20"/>
  </w:num>
  <w:num w:numId="24">
    <w:abstractNumId w:val="12"/>
  </w:num>
  <w:num w:numId="25">
    <w:abstractNumId w:val="27"/>
  </w:num>
  <w:num w:numId="26">
    <w:abstractNumId w:val="9"/>
  </w:num>
  <w:num w:numId="27">
    <w:abstractNumId w:val="7"/>
  </w:num>
  <w:num w:numId="28">
    <w:abstractNumId w:val="29"/>
  </w:num>
  <w:num w:numId="29">
    <w:abstractNumId w:val="34"/>
  </w:num>
  <w:num w:numId="30">
    <w:abstractNumId w:val="24"/>
  </w:num>
  <w:num w:numId="31">
    <w:abstractNumId w:val="17"/>
  </w:num>
  <w:num w:numId="32">
    <w:abstractNumId w:val="21"/>
  </w:num>
  <w:num w:numId="33">
    <w:abstractNumId w:val="3"/>
  </w:num>
  <w:num w:numId="34">
    <w:abstractNumId w:val="16"/>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E483D4"/>
    <w:rsid w:val="00004E53"/>
    <w:rsid w:val="00011110"/>
    <w:rsid w:val="000139E4"/>
    <w:rsid w:val="0002323F"/>
    <w:rsid w:val="000243F3"/>
    <w:rsid w:val="00031261"/>
    <w:rsid w:val="00034077"/>
    <w:rsid w:val="000367F0"/>
    <w:rsid w:val="00042262"/>
    <w:rsid w:val="00044133"/>
    <w:rsid w:val="000442CE"/>
    <w:rsid w:val="00047BBC"/>
    <w:rsid w:val="000520E2"/>
    <w:rsid w:val="0005482B"/>
    <w:rsid w:val="00062F68"/>
    <w:rsid w:val="00076E99"/>
    <w:rsid w:val="00081AFA"/>
    <w:rsid w:val="00083BF1"/>
    <w:rsid w:val="000871DC"/>
    <w:rsid w:val="00093154"/>
    <w:rsid w:val="000934E4"/>
    <w:rsid w:val="00094834"/>
    <w:rsid w:val="000B0067"/>
    <w:rsid w:val="000B17A9"/>
    <w:rsid w:val="000B6E7E"/>
    <w:rsid w:val="000B7468"/>
    <w:rsid w:val="000C02E2"/>
    <w:rsid w:val="000C63DC"/>
    <w:rsid w:val="000C67D3"/>
    <w:rsid w:val="000E0F33"/>
    <w:rsid w:val="000E4B4C"/>
    <w:rsid w:val="000E4F7A"/>
    <w:rsid w:val="000F15CB"/>
    <w:rsid w:val="000F1BE7"/>
    <w:rsid w:val="000F6100"/>
    <w:rsid w:val="000F6889"/>
    <w:rsid w:val="00104BB6"/>
    <w:rsid w:val="00106C29"/>
    <w:rsid w:val="0011171C"/>
    <w:rsid w:val="00114FE8"/>
    <w:rsid w:val="001166CB"/>
    <w:rsid w:val="00124424"/>
    <w:rsid w:val="001306FB"/>
    <w:rsid w:val="0013280F"/>
    <w:rsid w:val="00151906"/>
    <w:rsid w:val="00153514"/>
    <w:rsid w:val="0015528E"/>
    <w:rsid w:val="00155B85"/>
    <w:rsid w:val="00156C08"/>
    <w:rsid w:val="00162F30"/>
    <w:rsid w:val="001656A9"/>
    <w:rsid w:val="001726E1"/>
    <w:rsid w:val="00181A33"/>
    <w:rsid w:val="00192D9D"/>
    <w:rsid w:val="001A0C19"/>
    <w:rsid w:val="001A1D6F"/>
    <w:rsid w:val="001A5DE3"/>
    <w:rsid w:val="001B4705"/>
    <w:rsid w:val="001B5BD1"/>
    <w:rsid w:val="001C03ED"/>
    <w:rsid w:val="001C381D"/>
    <w:rsid w:val="001D5795"/>
    <w:rsid w:val="001D5978"/>
    <w:rsid w:val="001D6191"/>
    <w:rsid w:val="001D64D4"/>
    <w:rsid w:val="001D6B13"/>
    <w:rsid w:val="001DB301"/>
    <w:rsid w:val="001E3616"/>
    <w:rsid w:val="001E3E4D"/>
    <w:rsid w:val="001E53A9"/>
    <w:rsid w:val="001F706E"/>
    <w:rsid w:val="00203A52"/>
    <w:rsid w:val="00206B86"/>
    <w:rsid w:val="00213B01"/>
    <w:rsid w:val="00213C41"/>
    <w:rsid w:val="002141F9"/>
    <w:rsid w:val="00220DF4"/>
    <w:rsid w:val="00222FF8"/>
    <w:rsid w:val="00225DB0"/>
    <w:rsid w:val="00230DC9"/>
    <w:rsid w:val="00236ABE"/>
    <w:rsid w:val="0024672E"/>
    <w:rsid w:val="00247C95"/>
    <w:rsid w:val="0025047F"/>
    <w:rsid w:val="00251C00"/>
    <w:rsid w:val="0025405E"/>
    <w:rsid w:val="0025650D"/>
    <w:rsid w:val="00264F7B"/>
    <w:rsid w:val="00264FB5"/>
    <w:rsid w:val="00267146"/>
    <w:rsid w:val="002679D8"/>
    <w:rsid w:val="00274418"/>
    <w:rsid w:val="002809DA"/>
    <w:rsid w:val="00282557"/>
    <w:rsid w:val="00282A7D"/>
    <w:rsid w:val="002930B7"/>
    <w:rsid w:val="00295C55"/>
    <w:rsid w:val="00295C66"/>
    <w:rsid w:val="00296277"/>
    <w:rsid w:val="002A4241"/>
    <w:rsid w:val="002A74AD"/>
    <w:rsid w:val="002B2819"/>
    <w:rsid w:val="002B3FEB"/>
    <w:rsid w:val="002C4845"/>
    <w:rsid w:val="002D1BD5"/>
    <w:rsid w:val="002D6522"/>
    <w:rsid w:val="002E45F5"/>
    <w:rsid w:val="002F05F0"/>
    <w:rsid w:val="002F291F"/>
    <w:rsid w:val="002F3A41"/>
    <w:rsid w:val="002F7ED5"/>
    <w:rsid w:val="003010B5"/>
    <w:rsid w:val="003021F7"/>
    <w:rsid w:val="0030263E"/>
    <w:rsid w:val="00305898"/>
    <w:rsid w:val="00312BF2"/>
    <w:rsid w:val="00317079"/>
    <w:rsid w:val="00320BDF"/>
    <w:rsid w:val="003217FA"/>
    <w:rsid w:val="00326782"/>
    <w:rsid w:val="0033107D"/>
    <w:rsid w:val="00336A60"/>
    <w:rsid w:val="00340A8E"/>
    <w:rsid w:val="0034115E"/>
    <w:rsid w:val="003437B2"/>
    <w:rsid w:val="00346273"/>
    <w:rsid w:val="00350E3C"/>
    <w:rsid w:val="003600A4"/>
    <w:rsid w:val="0036121A"/>
    <w:rsid w:val="003625EE"/>
    <w:rsid w:val="00362AFB"/>
    <w:rsid w:val="00364DC0"/>
    <w:rsid w:val="0036508D"/>
    <w:rsid w:val="00384BF2"/>
    <w:rsid w:val="00387C17"/>
    <w:rsid w:val="00393738"/>
    <w:rsid w:val="003A263B"/>
    <w:rsid w:val="003A47FE"/>
    <w:rsid w:val="003A4B74"/>
    <w:rsid w:val="003B12DF"/>
    <w:rsid w:val="003B6FC7"/>
    <w:rsid w:val="003B72FF"/>
    <w:rsid w:val="003C2F39"/>
    <w:rsid w:val="003C7EDC"/>
    <w:rsid w:val="003E16F1"/>
    <w:rsid w:val="003E2C86"/>
    <w:rsid w:val="003E4E66"/>
    <w:rsid w:val="003E63BF"/>
    <w:rsid w:val="003E6E7D"/>
    <w:rsid w:val="003F20CB"/>
    <w:rsid w:val="003F23E4"/>
    <w:rsid w:val="003F2466"/>
    <w:rsid w:val="003F296B"/>
    <w:rsid w:val="00401EBC"/>
    <w:rsid w:val="00402008"/>
    <w:rsid w:val="0040251D"/>
    <w:rsid w:val="0040297E"/>
    <w:rsid w:val="00403474"/>
    <w:rsid w:val="004037B3"/>
    <w:rsid w:val="00414C84"/>
    <w:rsid w:val="00416922"/>
    <w:rsid w:val="0042345B"/>
    <w:rsid w:val="0042734A"/>
    <w:rsid w:val="00430C61"/>
    <w:rsid w:val="004370AD"/>
    <w:rsid w:val="004379AA"/>
    <w:rsid w:val="00440CF1"/>
    <w:rsid w:val="00441FF2"/>
    <w:rsid w:val="00444284"/>
    <w:rsid w:val="0044586A"/>
    <w:rsid w:val="0045486B"/>
    <w:rsid w:val="004551EA"/>
    <w:rsid w:val="00461355"/>
    <w:rsid w:val="00467532"/>
    <w:rsid w:val="0047396B"/>
    <w:rsid w:val="004747CC"/>
    <w:rsid w:val="00475120"/>
    <w:rsid w:val="004778A4"/>
    <w:rsid w:val="004825AB"/>
    <w:rsid w:val="0048502D"/>
    <w:rsid w:val="0049014E"/>
    <w:rsid w:val="00491B85"/>
    <w:rsid w:val="0049696B"/>
    <w:rsid w:val="004A3D31"/>
    <w:rsid w:val="004A4745"/>
    <w:rsid w:val="004B51D8"/>
    <w:rsid w:val="004C1D34"/>
    <w:rsid w:val="004C5311"/>
    <w:rsid w:val="004C72A1"/>
    <w:rsid w:val="004E7B5E"/>
    <w:rsid w:val="004F604C"/>
    <w:rsid w:val="00511C96"/>
    <w:rsid w:val="00511CEB"/>
    <w:rsid w:val="00517C15"/>
    <w:rsid w:val="00522DA3"/>
    <w:rsid w:val="00524881"/>
    <w:rsid w:val="00525DCB"/>
    <w:rsid w:val="00534791"/>
    <w:rsid w:val="0053766C"/>
    <w:rsid w:val="0054162D"/>
    <w:rsid w:val="00541F90"/>
    <w:rsid w:val="00562D4A"/>
    <w:rsid w:val="0056314B"/>
    <w:rsid w:val="00570981"/>
    <w:rsid w:val="005735FB"/>
    <w:rsid w:val="00575C81"/>
    <w:rsid w:val="00582432"/>
    <w:rsid w:val="00584E82"/>
    <w:rsid w:val="00587BFA"/>
    <w:rsid w:val="00594C55"/>
    <w:rsid w:val="005A1CFB"/>
    <w:rsid w:val="005A24E2"/>
    <w:rsid w:val="005A38B9"/>
    <w:rsid w:val="005A6263"/>
    <w:rsid w:val="005B2FEB"/>
    <w:rsid w:val="005C265F"/>
    <w:rsid w:val="005D750A"/>
    <w:rsid w:val="005E1D94"/>
    <w:rsid w:val="005E74C6"/>
    <w:rsid w:val="0060705D"/>
    <w:rsid w:val="00613E32"/>
    <w:rsid w:val="00624E51"/>
    <w:rsid w:val="006314C0"/>
    <w:rsid w:val="00635DD4"/>
    <w:rsid w:val="006363B5"/>
    <w:rsid w:val="00642F03"/>
    <w:rsid w:val="0064728D"/>
    <w:rsid w:val="00657CB3"/>
    <w:rsid w:val="00663F41"/>
    <w:rsid w:val="00673403"/>
    <w:rsid w:val="00674C6F"/>
    <w:rsid w:val="006819C9"/>
    <w:rsid w:val="00683648"/>
    <w:rsid w:val="00692F7C"/>
    <w:rsid w:val="0069486A"/>
    <w:rsid w:val="0069616F"/>
    <w:rsid w:val="00697EAF"/>
    <w:rsid w:val="006A35CB"/>
    <w:rsid w:val="006A4567"/>
    <w:rsid w:val="006A55B5"/>
    <w:rsid w:val="006B0346"/>
    <w:rsid w:val="006B03E6"/>
    <w:rsid w:val="006B0823"/>
    <w:rsid w:val="006B3519"/>
    <w:rsid w:val="006C0B1F"/>
    <w:rsid w:val="006C2339"/>
    <w:rsid w:val="006C5B31"/>
    <w:rsid w:val="006D36A1"/>
    <w:rsid w:val="006E461F"/>
    <w:rsid w:val="006E7724"/>
    <w:rsid w:val="006F5756"/>
    <w:rsid w:val="0070085A"/>
    <w:rsid w:val="00710149"/>
    <w:rsid w:val="0071324B"/>
    <w:rsid w:val="0072068D"/>
    <w:rsid w:val="00724E8B"/>
    <w:rsid w:val="00725E28"/>
    <w:rsid w:val="00733887"/>
    <w:rsid w:val="0073418C"/>
    <w:rsid w:val="0075227F"/>
    <w:rsid w:val="00756FA5"/>
    <w:rsid w:val="00761CE0"/>
    <w:rsid w:val="00763BA0"/>
    <w:rsid w:val="007646B3"/>
    <w:rsid w:val="007651D6"/>
    <w:rsid w:val="00771072"/>
    <w:rsid w:val="00773BB6"/>
    <w:rsid w:val="00776BD2"/>
    <w:rsid w:val="0077792B"/>
    <w:rsid w:val="0077B66E"/>
    <w:rsid w:val="0078158C"/>
    <w:rsid w:val="007850E0"/>
    <w:rsid w:val="007949C8"/>
    <w:rsid w:val="007A1FC2"/>
    <w:rsid w:val="007A27F4"/>
    <w:rsid w:val="007A5D17"/>
    <w:rsid w:val="007B3A72"/>
    <w:rsid w:val="007C35F6"/>
    <w:rsid w:val="007D0170"/>
    <w:rsid w:val="007D0C45"/>
    <w:rsid w:val="007D1843"/>
    <w:rsid w:val="007D2E89"/>
    <w:rsid w:val="007D7DD9"/>
    <w:rsid w:val="007E1DB2"/>
    <w:rsid w:val="007E2299"/>
    <w:rsid w:val="007E752A"/>
    <w:rsid w:val="007F25C4"/>
    <w:rsid w:val="007F3D65"/>
    <w:rsid w:val="00802860"/>
    <w:rsid w:val="0080361D"/>
    <w:rsid w:val="008051F5"/>
    <w:rsid w:val="00806023"/>
    <w:rsid w:val="00808B67"/>
    <w:rsid w:val="00812F88"/>
    <w:rsid w:val="008132F1"/>
    <w:rsid w:val="00815BC3"/>
    <w:rsid w:val="00820420"/>
    <w:rsid w:val="008245B4"/>
    <w:rsid w:val="008319D5"/>
    <w:rsid w:val="0083496B"/>
    <w:rsid w:val="00843507"/>
    <w:rsid w:val="00844126"/>
    <w:rsid w:val="00844EAB"/>
    <w:rsid w:val="00854C77"/>
    <w:rsid w:val="008565B5"/>
    <w:rsid w:val="008612DF"/>
    <w:rsid w:val="008653A5"/>
    <w:rsid w:val="008653D8"/>
    <w:rsid w:val="008661EA"/>
    <w:rsid w:val="008702A1"/>
    <w:rsid w:val="008760F8"/>
    <w:rsid w:val="00876200"/>
    <w:rsid w:val="008864E0"/>
    <w:rsid w:val="00890F1A"/>
    <w:rsid w:val="0089343E"/>
    <w:rsid w:val="008942E2"/>
    <w:rsid w:val="00894718"/>
    <w:rsid w:val="008A2305"/>
    <w:rsid w:val="008B06C1"/>
    <w:rsid w:val="008B1858"/>
    <w:rsid w:val="008B2213"/>
    <w:rsid w:val="008B3162"/>
    <w:rsid w:val="008B36E2"/>
    <w:rsid w:val="008B45DC"/>
    <w:rsid w:val="008C05D1"/>
    <w:rsid w:val="008C1BE6"/>
    <w:rsid w:val="008C7938"/>
    <w:rsid w:val="008D7958"/>
    <w:rsid w:val="008E6CBC"/>
    <w:rsid w:val="008FE9DE"/>
    <w:rsid w:val="0090730E"/>
    <w:rsid w:val="00916B39"/>
    <w:rsid w:val="0093791C"/>
    <w:rsid w:val="00946317"/>
    <w:rsid w:val="009524E8"/>
    <w:rsid w:val="009565AB"/>
    <w:rsid w:val="0095709F"/>
    <w:rsid w:val="0096324E"/>
    <w:rsid w:val="00966016"/>
    <w:rsid w:val="00967B8E"/>
    <w:rsid w:val="00970D1E"/>
    <w:rsid w:val="00971DAE"/>
    <w:rsid w:val="00972D42"/>
    <w:rsid w:val="00973BB2"/>
    <w:rsid w:val="009767F4"/>
    <w:rsid w:val="00987D5E"/>
    <w:rsid w:val="00987F21"/>
    <w:rsid w:val="00993C43"/>
    <w:rsid w:val="009A793E"/>
    <w:rsid w:val="009B173E"/>
    <w:rsid w:val="009C1C6E"/>
    <w:rsid w:val="009C3676"/>
    <w:rsid w:val="009C545D"/>
    <w:rsid w:val="009E1D39"/>
    <w:rsid w:val="009E50C3"/>
    <w:rsid w:val="009E655F"/>
    <w:rsid w:val="009F0891"/>
    <w:rsid w:val="009F47F5"/>
    <w:rsid w:val="009F4F16"/>
    <w:rsid w:val="00A06356"/>
    <w:rsid w:val="00A13278"/>
    <w:rsid w:val="00A1337B"/>
    <w:rsid w:val="00A16819"/>
    <w:rsid w:val="00A220A2"/>
    <w:rsid w:val="00A24DE5"/>
    <w:rsid w:val="00A25BDA"/>
    <w:rsid w:val="00A2771C"/>
    <w:rsid w:val="00A327A7"/>
    <w:rsid w:val="00A37CFD"/>
    <w:rsid w:val="00A4161F"/>
    <w:rsid w:val="00A42D3C"/>
    <w:rsid w:val="00A60DB5"/>
    <w:rsid w:val="00A70313"/>
    <w:rsid w:val="00A7133E"/>
    <w:rsid w:val="00A7183E"/>
    <w:rsid w:val="00A73231"/>
    <w:rsid w:val="00A7653D"/>
    <w:rsid w:val="00A816DD"/>
    <w:rsid w:val="00A92389"/>
    <w:rsid w:val="00A92409"/>
    <w:rsid w:val="00AA0221"/>
    <w:rsid w:val="00AA6E45"/>
    <w:rsid w:val="00AB0CE6"/>
    <w:rsid w:val="00AB132F"/>
    <w:rsid w:val="00AB1437"/>
    <w:rsid w:val="00AB677B"/>
    <w:rsid w:val="00AB6BF9"/>
    <w:rsid w:val="00AC0615"/>
    <w:rsid w:val="00AC06FA"/>
    <w:rsid w:val="00AC26D4"/>
    <w:rsid w:val="00AC31C6"/>
    <w:rsid w:val="00AC58FA"/>
    <w:rsid w:val="00AC5DDD"/>
    <w:rsid w:val="00AD10B4"/>
    <w:rsid w:val="00AD4A51"/>
    <w:rsid w:val="00AD7FB3"/>
    <w:rsid w:val="00AE5B3C"/>
    <w:rsid w:val="00AF533B"/>
    <w:rsid w:val="00AF597A"/>
    <w:rsid w:val="00AF6FE3"/>
    <w:rsid w:val="00AF7D35"/>
    <w:rsid w:val="00B00FF4"/>
    <w:rsid w:val="00B05AE6"/>
    <w:rsid w:val="00B078A8"/>
    <w:rsid w:val="00B0DB02"/>
    <w:rsid w:val="00B10A7A"/>
    <w:rsid w:val="00B11B5C"/>
    <w:rsid w:val="00B22FEB"/>
    <w:rsid w:val="00B238BB"/>
    <w:rsid w:val="00B25EAC"/>
    <w:rsid w:val="00B26A66"/>
    <w:rsid w:val="00B3318F"/>
    <w:rsid w:val="00B433B0"/>
    <w:rsid w:val="00B4388B"/>
    <w:rsid w:val="00B4766E"/>
    <w:rsid w:val="00B61A24"/>
    <w:rsid w:val="00B61C44"/>
    <w:rsid w:val="00B636A3"/>
    <w:rsid w:val="00B663C3"/>
    <w:rsid w:val="00B703E1"/>
    <w:rsid w:val="00B706A2"/>
    <w:rsid w:val="00B71C01"/>
    <w:rsid w:val="00B77485"/>
    <w:rsid w:val="00B8278E"/>
    <w:rsid w:val="00B87220"/>
    <w:rsid w:val="00B92AC4"/>
    <w:rsid w:val="00B94DE4"/>
    <w:rsid w:val="00BA4889"/>
    <w:rsid w:val="00BB1D00"/>
    <w:rsid w:val="00BC1577"/>
    <w:rsid w:val="00BC2C46"/>
    <w:rsid w:val="00BC605E"/>
    <w:rsid w:val="00BC669F"/>
    <w:rsid w:val="00BE761C"/>
    <w:rsid w:val="00BF4409"/>
    <w:rsid w:val="00BF4FD0"/>
    <w:rsid w:val="00BF7AA6"/>
    <w:rsid w:val="00C0315A"/>
    <w:rsid w:val="00C13B6A"/>
    <w:rsid w:val="00C14166"/>
    <w:rsid w:val="00C242A7"/>
    <w:rsid w:val="00C30C72"/>
    <w:rsid w:val="00C33055"/>
    <w:rsid w:val="00C35219"/>
    <w:rsid w:val="00C35E29"/>
    <w:rsid w:val="00C37C49"/>
    <w:rsid w:val="00C427A7"/>
    <w:rsid w:val="00C530F6"/>
    <w:rsid w:val="00C64EF3"/>
    <w:rsid w:val="00C671F6"/>
    <w:rsid w:val="00C737AC"/>
    <w:rsid w:val="00C83897"/>
    <w:rsid w:val="00C839FE"/>
    <w:rsid w:val="00C93F63"/>
    <w:rsid w:val="00C9759B"/>
    <w:rsid w:val="00CB1471"/>
    <w:rsid w:val="00CB279B"/>
    <w:rsid w:val="00CC57C3"/>
    <w:rsid w:val="00CC6345"/>
    <w:rsid w:val="00CD64A4"/>
    <w:rsid w:val="00CD6555"/>
    <w:rsid w:val="00CD72F2"/>
    <w:rsid w:val="00CE0F55"/>
    <w:rsid w:val="00D0136C"/>
    <w:rsid w:val="00D0255E"/>
    <w:rsid w:val="00D10B17"/>
    <w:rsid w:val="00D10D2B"/>
    <w:rsid w:val="00D14099"/>
    <w:rsid w:val="00D143CF"/>
    <w:rsid w:val="00D16154"/>
    <w:rsid w:val="00D235D1"/>
    <w:rsid w:val="00D242F8"/>
    <w:rsid w:val="00D33742"/>
    <w:rsid w:val="00D355D1"/>
    <w:rsid w:val="00D4734A"/>
    <w:rsid w:val="00D47CD6"/>
    <w:rsid w:val="00D526D5"/>
    <w:rsid w:val="00D546AF"/>
    <w:rsid w:val="00D617B4"/>
    <w:rsid w:val="00D6476E"/>
    <w:rsid w:val="00D6629C"/>
    <w:rsid w:val="00D73181"/>
    <w:rsid w:val="00D73AEA"/>
    <w:rsid w:val="00D87F4A"/>
    <w:rsid w:val="00D95BA2"/>
    <w:rsid w:val="00DB5AC2"/>
    <w:rsid w:val="00DC4FFD"/>
    <w:rsid w:val="00DD30C7"/>
    <w:rsid w:val="00DD33FB"/>
    <w:rsid w:val="00DD3D17"/>
    <w:rsid w:val="00DD45C3"/>
    <w:rsid w:val="00DD609E"/>
    <w:rsid w:val="00DE465A"/>
    <w:rsid w:val="00DE54D0"/>
    <w:rsid w:val="00DE57C4"/>
    <w:rsid w:val="00DF3265"/>
    <w:rsid w:val="00DF5E2A"/>
    <w:rsid w:val="00E01F64"/>
    <w:rsid w:val="00E12432"/>
    <w:rsid w:val="00E217CE"/>
    <w:rsid w:val="00E27B63"/>
    <w:rsid w:val="00E27EE9"/>
    <w:rsid w:val="00E3339F"/>
    <w:rsid w:val="00E35367"/>
    <w:rsid w:val="00E360EE"/>
    <w:rsid w:val="00E4087C"/>
    <w:rsid w:val="00E42B2F"/>
    <w:rsid w:val="00E465B9"/>
    <w:rsid w:val="00E51A8A"/>
    <w:rsid w:val="00E55721"/>
    <w:rsid w:val="00E57301"/>
    <w:rsid w:val="00E650F5"/>
    <w:rsid w:val="00E65DFD"/>
    <w:rsid w:val="00E70852"/>
    <w:rsid w:val="00E71FCB"/>
    <w:rsid w:val="00E73F51"/>
    <w:rsid w:val="00E776AC"/>
    <w:rsid w:val="00E80F19"/>
    <w:rsid w:val="00E83792"/>
    <w:rsid w:val="00E85F22"/>
    <w:rsid w:val="00E920AE"/>
    <w:rsid w:val="00EA0550"/>
    <w:rsid w:val="00EA42C2"/>
    <w:rsid w:val="00EB314D"/>
    <w:rsid w:val="00EC6EFB"/>
    <w:rsid w:val="00ED0716"/>
    <w:rsid w:val="00ED3424"/>
    <w:rsid w:val="00ED4457"/>
    <w:rsid w:val="00ED45C3"/>
    <w:rsid w:val="00ED4DF6"/>
    <w:rsid w:val="00ED4EB9"/>
    <w:rsid w:val="00ED7373"/>
    <w:rsid w:val="00EE2B84"/>
    <w:rsid w:val="00EE44DA"/>
    <w:rsid w:val="00EF0FF5"/>
    <w:rsid w:val="00EF6A78"/>
    <w:rsid w:val="00F01553"/>
    <w:rsid w:val="00F03902"/>
    <w:rsid w:val="00F133FF"/>
    <w:rsid w:val="00F2117D"/>
    <w:rsid w:val="00F22A63"/>
    <w:rsid w:val="00F41C5A"/>
    <w:rsid w:val="00F46563"/>
    <w:rsid w:val="00F46B6E"/>
    <w:rsid w:val="00F477EB"/>
    <w:rsid w:val="00F47EF1"/>
    <w:rsid w:val="00F50065"/>
    <w:rsid w:val="00F52E2D"/>
    <w:rsid w:val="00F56F4C"/>
    <w:rsid w:val="00F61C87"/>
    <w:rsid w:val="00F62446"/>
    <w:rsid w:val="00F67184"/>
    <w:rsid w:val="00F73D4B"/>
    <w:rsid w:val="00F823F6"/>
    <w:rsid w:val="00F847B3"/>
    <w:rsid w:val="00F93868"/>
    <w:rsid w:val="00F967F4"/>
    <w:rsid w:val="00FA02D4"/>
    <w:rsid w:val="00FA244F"/>
    <w:rsid w:val="00FA5111"/>
    <w:rsid w:val="00FB3E82"/>
    <w:rsid w:val="00FB4201"/>
    <w:rsid w:val="00FB5163"/>
    <w:rsid w:val="00FC431F"/>
    <w:rsid w:val="00FC5629"/>
    <w:rsid w:val="00FC664F"/>
    <w:rsid w:val="00FD0F33"/>
    <w:rsid w:val="00FD3390"/>
    <w:rsid w:val="00FF12AF"/>
    <w:rsid w:val="00FF1DA7"/>
    <w:rsid w:val="00FF2038"/>
    <w:rsid w:val="00FF2F9F"/>
    <w:rsid w:val="00FF5424"/>
    <w:rsid w:val="011D605E"/>
    <w:rsid w:val="011FCB4E"/>
    <w:rsid w:val="0126D40A"/>
    <w:rsid w:val="0132CF8C"/>
    <w:rsid w:val="0169A9DE"/>
    <w:rsid w:val="017556BC"/>
    <w:rsid w:val="01796C51"/>
    <w:rsid w:val="017C187B"/>
    <w:rsid w:val="01B98362"/>
    <w:rsid w:val="01C14B26"/>
    <w:rsid w:val="01C7E7FE"/>
    <w:rsid w:val="021C5BC8"/>
    <w:rsid w:val="0241A1BC"/>
    <w:rsid w:val="0257AFA2"/>
    <w:rsid w:val="0258191A"/>
    <w:rsid w:val="02868564"/>
    <w:rsid w:val="029C8C1B"/>
    <w:rsid w:val="02E27A84"/>
    <w:rsid w:val="02F36186"/>
    <w:rsid w:val="03040CFE"/>
    <w:rsid w:val="0344A6DB"/>
    <w:rsid w:val="0356F118"/>
    <w:rsid w:val="03638362"/>
    <w:rsid w:val="038792B2"/>
    <w:rsid w:val="039026D5"/>
    <w:rsid w:val="039F777D"/>
    <w:rsid w:val="03B3E918"/>
    <w:rsid w:val="03BD6AB2"/>
    <w:rsid w:val="03CF76B4"/>
    <w:rsid w:val="03D306A4"/>
    <w:rsid w:val="04385C7C"/>
    <w:rsid w:val="046FFD08"/>
    <w:rsid w:val="04903542"/>
    <w:rsid w:val="05049233"/>
    <w:rsid w:val="054EC48B"/>
    <w:rsid w:val="0562E7C2"/>
    <w:rsid w:val="0577E33B"/>
    <w:rsid w:val="05827A19"/>
    <w:rsid w:val="05B93FC3"/>
    <w:rsid w:val="05BCB2FE"/>
    <w:rsid w:val="05D42CDD"/>
    <w:rsid w:val="05D91600"/>
    <w:rsid w:val="062EDE2A"/>
    <w:rsid w:val="0654BAA4"/>
    <w:rsid w:val="0666D024"/>
    <w:rsid w:val="068D8515"/>
    <w:rsid w:val="06A31BB5"/>
    <w:rsid w:val="06C02BFF"/>
    <w:rsid w:val="06E6F7F2"/>
    <w:rsid w:val="0730C303"/>
    <w:rsid w:val="07324608"/>
    <w:rsid w:val="076FFD3E"/>
    <w:rsid w:val="077A7B11"/>
    <w:rsid w:val="078661B2"/>
    <w:rsid w:val="07DBCB57"/>
    <w:rsid w:val="080AB735"/>
    <w:rsid w:val="0828C4E6"/>
    <w:rsid w:val="08295576"/>
    <w:rsid w:val="082A4337"/>
    <w:rsid w:val="08457A27"/>
    <w:rsid w:val="08886294"/>
    <w:rsid w:val="08AFB6E0"/>
    <w:rsid w:val="08D065E0"/>
    <w:rsid w:val="08DA427E"/>
    <w:rsid w:val="08E474C9"/>
    <w:rsid w:val="0956E1AE"/>
    <w:rsid w:val="096F3FA9"/>
    <w:rsid w:val="098FAE4B"/>
    <w:rsid w:val="09A62D87"/>
    <w:rsid w:val="09CC6300"/>
    <w:rsid w:val="0A05870B"/>
    <w:rsid w:val="0A1383D9"/>
    <w:rsid w:val="0A58FEFE"/>
    <w:rsid w:val="0A5C0B2A"/>
    <w:rsid w:val="0A606878"/>
    <w:rsid w:val="0A708C1F"/>
    <w:rsid w:val="0AE33319"/>
    <w:rsid w:val="0AFD82D9"/>
    <w:rsid w:val="0B0B100A"/>
    <w:rsid w:val="0B24BDA4"/>
    <w:rsid w:val="0B4BA078"/>
    <w:rsid w:val="0B7C1F37"/>
    <w:rsid w:val="0B925C98"/>
    <w:rsid w:val="0B9A0F25"/>
    <w:rsid w:val="0B9B9445"/>
    <w:rsid w:val="0BA1576C"/>
    <w:rsid w:val="0BB741C0"/>
    <w:rsid w:val="0BCBEBDC"/>
    <w:rsid w:val="0C2B11C9"/>
    <w:rsid w:val="0C57334B"/>
    <w:rsid w:val="0C7CAC9B"/>
    <w:rsid w:val="0CA6E06B"/>
    <w:rsid w:val="0CC330C0"/>
    <w:rsid w:val="0CC9C5E4"/>
    <w:rsid w:val="0CCB9769"/>
    <w:rsid w:val="0CDC46F5"/>
    <w:rsid w:val="0CF54693"/>
    <w:rsid w:val="0CF8E016"/>
    <w:rsid w:val="0CFCC699"/>
    <w:rsid w:val="0D1F33DD"/>
    <w:rsid w:val="0D213025"/>
    <w:rsid w:val="0D2230EC"/>
    <w:rsid w:val="0D24D225"/>
    <w:rsid w:val="0D73774B"/>
    <w:rsid w:val="0DD12591"/>
    <w:rsid w:val="0DD8B192"/>
    <w:rsid w:val="0E2C2F10"/>
    <w:rsid w:val="0E414B1B"/>
    <w:rsid w:val="0E42B0CC"/>
    <w:rsid w:val="0E5BCEB8"/>
    <w:rsid w:val="0E67F4CE"/>
    <w:rsid w:val="0E79EE48"/>
    <w:rsid w:val="0E8004DC"/>
    <w:rsid w:val="0EAAF260"/>
    <w:rsid w:val="0ED4C8E1"/>
    <w:rsid w:val="0EECD581"/>
    <w:rsid w:val="0EFBD690"/>
    <w:rsid w:val="0F6B440A"/>
    <w:rsid w:val="0F7FFB81"/>
    <w:rsid w:val="0F858CF6"/>
    <w:rsid w:val="0F9DA8BB"/>
    <w:rsid w:val="100D26F5"/>
    <w:rsid w:val="1032B196"/>
    <w:rsid w:val="1035FE15"/>
    <w:rsid w:val="104DE5E8"/>
    <w:rsid w:val="1077F75F"/>
    <w:rsid w:val="1097574B"/>
    <w:rsid w:val="109DACEF"/>
    <w:rsid w:val="10AF65D8"/>
    <w:rsid w:val="10BAB07F"/>
    <w:rsid w:val="10D239AF"/>
    <w:rsid w:val="10F682DA"/>
    <w:rsid w:val="1124C2FA"/>
    <w:rsid w:val="114124A9"/>
    <w:rsid w:val="115D5FF3"/>
    <w:rsid w:val="119FB6C9"/>
    <w:rsid w:val="120097A1"/>
    <w:rsid w:val="121683D8"/>
    <w:rsid w:val="122522A8"/>
    <w:rsid w:val="123040CF"/>
    <w:rsid w:val="1234179F"/>
    <w:rsid w:val="125E8555"/>
    <w:rsid w:val="12783C77"/>
    <w:rsid w:val="12848228"/>
    <w:rsid w:val="12BD2DB8"/>
    <w:rsid w:val="12CEBD2C"/>
    <w:rsid w:val="12D1EC70"/>
    <w:rsid w:val="12E68E8C"/>
    <w:rsid w:val="12F93054"/>
    <w:rsid w:val="130362A8"/>
    <w:rsid w:val="1304952E"/>
    <w:rsid w:val="134B90A2"/>
    <w:rsid w:val="135F6F23"/>
    <w:rsid w:val="1381C9AF"/>
    <w:rsid w:val="13D63D79"/>
    <w:rsid w:val="141CFB51"/>
    <w:rsid w:val="14273EB8"/>
    <w:rsid w:val="145C63BC"/>
    <w:rsid w:val="14602BF1"/>
    <w:rsid w:val="14815BA7"/>
    <w:rsid w:val="14B1E7DF"/>
    <w:rsid w:val="14B2778D"/>
    <w:rsid w:val="14C74A3C"/>
    <w:rsid w:val="14CA2B72"/>
    <w:rsid w:val="14CC07FE"/>
    <w:rsid w:val="14EA4E3F"/>
    <w:rsid w:val="14F85EB4"/>
    <w:rsid w:val="15093676"/>
    <w:rsid w:val="1510BE44"/>
    <w:rsid w:val="152E7C27"/>
    <w:rsid w:val="154839B2"/>
    <w:rsid w:val="15512F3E"/>
    <w:rsid w:val="15604747"/>
    <w:rsid w:val="1567E191"/>
    <w:rsid w:val="15981B87"/>
    <w:rsid w:val="15CB80BA"/>
    <w:rsid w:val="15F32712"/>
    <w:rsid w:val="15F4CE7A"/>
    <w:rsid w:val="160FC1F6"/>
    <w:rsid w:val="1612E640"/>
    <w:rsid w:val="161CECC7"/>
    <w:rsid w:val="1655B037"/>
    <w:rsid w:val="1658820C"/>
    <w:rsid w:val="169F0CA9"/>
    <w:rsid w:val="16A82F11"/>
    <w:rsid w:val="16AB6B8B"/>
    <w:rsid w:val="16B82953"/>
    <w:rsid w:val="1741B89F"/>
    <w:rsid w:val="17857AA9"/>
    <w:rsid w:val="17909EDB"/>
    <w:rsid w:val="17B943BB"/>
    <w:rsid w:val="17C95C27"/>
    <w:rsid w:val="17D26A05"/>
    <w:rsid w:val="17ECC616"/>
    <w:rsid w:val="18001878"/>
    <w:rsid w:val="1846D636"/>
    <w:rsid w:val="188C585A"/>
    <w:rsid w:val="18ADD6F9"/>
    <w:rsid w:val="18C04AC1"/>
    <w:rsid w:val="18C42DA8"/>
    <w:rsid w:val="18CEF490"/>
    <w:rsid w:val="18D556A0"/>
    <w:rsid w:val="18DD8900"/>
    <w:rsid w:val="18E14965"/>
    <w:rsid w:val="18F673F1"/>
    <w:rsid w:val="18F859FA"/>
    <w:rsid w:val="1932F8E6"/>
    <w:rsid w:val="199BBA35"/>
    <w:rsid w:val="19AA1A71"/>
    <w:rsid w:val="1A5BD024"/>
    <w:rsid w:val="1A73BA67"/>
    <w:rsid w:val="1A791BF5"/>
    <w:rsid w:val="1ABBA03A"/>
    <w:rsid w:val="1ABEE463"/>
    <w:rsid w:val="1AC83F9D"/>
    <w:rsid w:val="1AD893E1"/>
    <w:rsid w:val="1AEED9A7"/>
    <w:rsid w:val="1B237280"/>
    <w:rsid w:val="1B42AA28"/>
    <w:rsid w:val="1B7D4B19"/>
    <w:rsid w:val="1B7D73AC"/>
    <w:rsid w:val="1B7E76F8"/>
    <w:rsid w:val="1BA19BC5"/>
    <w:rsid w:val="1BC8E749"/>
    <w:rsid w:val="1BD44646"/>
    <w:rsid w:val="1BFD3926"/>
    <w:rsid w:val="1C32509D"/>
    <w:rsid w:val="1C5CAFB7"/>
    <w:rsid w:val="1C649217"/>
    <w:rsid w:val="1C91809E"/>
    <w:rsid w:val="1C9FADF3"/>
    <w:rsid w:val="1CEFB9C0"/>
    <w:rsid w:val="1CF3CAEE"/>
    <w:rsid w:val="1D191B7A"/>
    <w:rsid w:val="1D6C83B2"/>
    <w:rsid w:val="1DAB9D4E"/>
    <w:rsid w:val="1DB12799"/>
    <w:rsid w:val="1DBC55C9"/>
    <w:rsid w:val="1DE1DDA2"/>
    <w:rsid w:val="1DFBBA3F"/>
    <w:rsid w:val="1DFFE05F"/>
    <w:rsid w:val="1E03245F"/>
    <w:rsid w:val="1E1ACF0E"/>
    <w:rsid w:val="1E3BE2FB"/>
    <w:rsid w:val="1E418663"/>
    <w:rsid w:val="1E8A553C"/>
    <w:rsid w:val="1E98E58C"/>
    <w:rsid w:val="1EA1528A"/>
    <w:rsid w:val="1EB617BA"/>
    <w:rsid w:val="1EC83951"/>
    <w:rsid w:val="1EE3A9B7"/>
    <w:rsid w:val="1F0417BA"/>
    <w:rsid w:val="1F0D6DA9"/>
    <w:rsid w:val="1F476DAF"/>
    <w:rsid w:val="1F7B6A66"/>
    <w:rsid w:val="1F8A431B"/>
    <w:rsid w:val="1F942801"/>
    <w:rsid w:val="1FA57A0B"/>
    <w:rsid w:val="1FD7B35C"/>
    <w:rsid w:val="1FF06236"/>
    <w:rsid w:val="20195BF5"/>
    <w:rsid w:val="20206870"/>
    <w:rsid w:val="20495467"/>
    <w:rsid w:val="204B78E6"/>
    <w:rsid w:val="205F197C"/>
    <w:rsid w:val="206409B2"/>
    <w:rsid w:val="20A0FC3F"/>
    <w:rsid w:val="20E33E10"/>
    <w:rsid w:val="20E582D4"/>
    <w:rsid w:val="20EF9443"/>
    <w:rsid w:val="21005607"/>
    <w:rsid w:val="2100DB5D"/>
    <w:rsid w:val="2105C1C0"/>
    <w:rsid w:val="21378121"/>
    <w:rsid w:val="2165E335"/>
    <w:rsid w:val="2167648E"/>
    <w:rsid w:val="21A7FAF4"/>
    <w:rsid w:val="21C1F5FE"/>
    <w:rsid w:val="21D8F34C"/>
    <w:rsid w:val="21FFDA13"/>
    <w:rsid w:val="22245EE6"/>
    <w:rsid w:val="22463790"/>
    <w:rsid w:val="22532B30"/>
    <w:rsid w:val="226BD42E"/>
    <w:rsid w:val="2273BDEB"/>
    <w:rsid w:val="227CBB9B"/>
    <w:rsid w:val="22846B46"/>
    <w:rsid w:val="22892016"/>
    <w:rsid w:val="22A07678"/>
    <w:rsid w:val="22A986AB"/>
    <w:rsid w:val="22CF4B08"/>
    <w:rsid w:val="22D35182"/>
    <w:rsid w:val="22EC79DF"/>
    <w:rsid w:val="23BF26EF"/>
    <w:rsid w:val="23F1236F"/>
    <w:rsid w:val="23F171C8"/>
    <w:rsid w:val="23F36EC8"/>
    <w:rsid w:val="240C6B25"/>
    <w:rsid w:val="24126EF0"/>
    <w:rsid w:val="2437F6C9"/>
    <w:rsid w:val="243B0CA1"/>
    <w:rsid w:val="243D6282"/>
    <w:rsid w:val="24455008"/>
    <w:rsid w:val="2446E05F"/>
    <w:rsid w:val="24616674"/>
    <w:rsid w:val="24838E52"/>
    <w:rsid w:val="2484D209"/>
    <w:rsid w:val="2485DECF"/>
    <w:rsid w:val="248BB984"/>
    <w:rsid w:val="249B531A"/>
    <w:rsid w:val="24E25B9C"/>
    <w:rsid w:val="2506F17E"/>
    <w:rsid w:val="251EEA09"/>
    <w:rsid w:val="255AF750"/>
    <w:rsid w:val="25950AFB"/>
    <w:rsid w:val="259B66D7"/>
    <w:rsid w:val="259FEC90"/>
    <w:rsid w:val="25A8EA40"/>
    <w:rsid w:val="25D6DD02"/>
    <w:rsid w:val="25E2B0C0"/>
    <w:rsid w:val="25EACE3E"/>
    <w:rsid w:val="2607B154"/>
    <w:rsid w:val="2617406A"/>
    <w:rsid w:val="2629128C"/>
    <w:rsid w:val="263394C2"/>
    <w:rsid w:val="2646F4E0"/>
    <w:rsid w:val="26474834"/>
    <w:rsid w:val="2694729D"/>
    <w:rsid w:val="269A8DD4"/>
    <w:rsid w:val="26BABA6A"/>
    <w:rsid w:val="26C52A55"/>
    <w:rsid w:val="26C66531"/>
    <w:rsid w:val="26FF48BB"/>
    <w:rsid w:val="2716A420"/>
    <w:rsid w:val="271B09AD"/>
    <w:rsid w:val="27240205"/>
    <w:rsid w:val="2724AB77"/>
    <w:rsid w:val="276D26D9"/>
    <w:rsid w:val="276F5661"/>
    <w:rsid w:val="277B3EE2"/>
    <w:rsid w:val="2792BFBD"/>
    <w:rsid w:val="279A3AC9"/>
    <w:rsid w:val="27E03979"/>
    <w:rsid w:val="2819FC5E"/>
    <w:rsid w:val="281AB063"/>
    <w:rsid w:val="282D099D"/>
    <w:rsid w:val="28365E35"/>
    <w:rsid w:val="287AFC31"/>
    <w:rsid w:val="287B0EF8"/>
    <w:rsid w:val="28882A32"/>
    <w:rsid w:val="28A10F42"/>
    <w:rsid w:val="293E6FE8"/>
    <w:rsid w:val="2974DDDF"/>
    <w:rsid w:val="29AABCCD"/>
    <w:rsid w:val="29BAD07D"/>
    <w:rsid w:val="29E73251"/>
    <w:rsid w:val="2A199070"/>
    <w:rsid w:val="2A81221B"/>
    <w:rsid w:val="2A8F3851"/>
    <w:rsid w:val="2A9A4D86"/>
    <w:rsid w:val="2AA9F38D"/>
    <w:rsid w:val="2AE1C993"/>
    <w:rsid w:val="2B0E3809"/>
    <w:rsid w:val="2B1A6603"/>
    <w:rsid w:val="2B6E451E"/>
    <w:rsid w:val="2BA066F9"/>
    <w:rsid w:val="2BB1D7B2"/>
    <w:rsid w:val="2C104FCF"/>
    <w:rsid w:val="2C32FDA6"/>
    <w:rsid w:val="2C37C3CB"/>
    <w:rsid w:val="2C68C623"/>
    <w:rsid w:val="2C6F3558"/>
    <w:rsid w:val="2C75DDAA"/>
    <w:rsid w:val="2C7B0FA5"/>
    <w:rsid w:val="2C807574"/>
    <w:rsid w:val="2C8156EF"/>
    <w:rsid w:val="2CA8BB58"/>
    <w:rsid w:val="2CAA086A"/>
    <w:rsid w:val="2CAC7EA1"/>
    <w:rsid w:val="2CB48640"/>
    <w:rsid w:val="2CBA18C7"/>
    <w:rsid w:val="2CBE23EA"/>
    <w:rsid w:val="2CC7E175"/>
    <w:rsid w:val="2CD11DF6"/>
    <w:rsid w:val="2CDC631D"/>
    <w:rsid w:val="2CF7BDCA"/>
    <w:rsid w:val="2CFA870D"/>
    <w:rsid w:val="2CFFBCA4"/>
    <w:rsid w:val="2D36CBA1"/>
    <w:rsid w:val="2D4CD15A"/>
    <w:rsid w:val="2D515CB4"/>
    <w:rsid w:val="2D56E1A6"/>
    <w:rsid w:val="2D595AC4"/>
    <w:rsid w:val="2D62B031"/>
    <w:rsid w:val="2D6C1245"/>
    <w:rsid w:val="2D739859"/>
    <w:rsid w:val="2D77534B"/>
    <w:rsid w:val="2D96E94A"/>
    <w:rsid w:val="2DAB136B"/>
    <w:rsid w:val="2DB95136"/>
    <w:rsid w:val="2DCECE07"/>
    <w:rsid w:val="2E0615F4"/>
    <w:rsid w:val="2E196A55"/>
    <w:rsid w:val="2E1D2750"/>
    <w:rsid w:val="2E47170F"/>
    <w:rsid w:val="2E484F02"/>
    <w:rsid w:val="2E59F44B"/>
    <w:rsid w:val="2E62B30E"/>
    <w:rsid w:val="2E6CEE57"/>
    <w:rsid w:val="2E7B8155"/>
    <w:rsid w:val="2EA19DB2"/>
    <w:rsid w:val="2EAD1429"/>
    <w:rsid w:val="2EB38DA4"/>
    <w:rsid w:val="2EBAA374"/>
    <w:rsid w:val="2EC52FEB"/>
    <w:rsid w:val="2EE0553A"/>
    <w:rsid w:val="2F48AC4C"/>
    <w:rsid w:val="2F4E626A"/>
    <w:rsid w:val="2F6A824B"/>
    <w:rsid w:val="2F6E49F4"/>
    <w:rsid w:val="2F6E9C39"/>
    <w:rsid w:val="2F8C2451"/>
    <w:rsid w:val="2FA1E655"/>
    <w:rsid w:val="2FB8F7B1"/>
    <w:rsid w:val="2FB97567"/>
    <w:rsid w:val="2FBE3ADA"/>
    <w:rsid w:val="3012ABD6"/>
    <w:rsid w:val="30355684"/>
    <w:rsid w:val="3073F346"/>
    <w:rsid w:val="3088FC5A"/>
    <w:rsid w:val="309BC370"/>
    <w:rsid w:val="3116B9DB"/>
    <w:rsid w:val="31300C5A"/>
    <w:rsid w:val="314DA4EB"/>
    <w:rsid w:val="3150BB1A"/>
    <w:rsid w:val="3192BCCA"/>
    <w:rsid w:val="319CA9E8"/>
    <w:rsid w:val="31A2BE19"/>
    <w:rsid w:val="321EDF6A"/>
    <w:rsid w:val="327426AA"/>
    <w:rsid w:val="32A23F2A"/>
    <w:rsid w:val="32A63CFB"/>
    <w:rsid w:val="32D36A91"/>
    <w:rsid w:val="32D807A7"/>
    <w:rsid w:val="32DE76DC"/>
    <w:rsid w:val="32E9754C"/>
    <w:rsid w:val="3303AEC2"/>
    <w:rsid w:val="3305FF43"/>
    <w:rsid w:val="33387A49"/>
    <w:rsid w:val="3382BE95"/>
    <w:rsid w:val="33F3D0D0"/>
    <w:rsid w:val="34092645"/>
    <w:rsid w:val="3434226D"/>
    <w:rsid w:val="344E1741"/>
    <w:rsid w:val="3465820D"/>
    <w:rsid w:val="347B3C9E"/>
    <w:rsid w:val="347BC5EF"/>
    <w:rsid w:val="34835575"/>
    <w:rsid w:val="352004B9"/>
    <w:rsid w:val="35423EAF"/>
    <w:rsid w:val="35679AFB"/>
    <w:rsid w:val="35C31880"/>
    <w:rsid w:val="35E6CE31"/>
    <w:rsid w:val="35EE3350"/>
    <w:rsid w:val="360FA869"/>
    <w:rsid w:val="36188327"/>
    <w:rsid w:val="365E3E34"/>
    <w:rsid w:val="36919F0B"/>
    <w:rsid w:val="36D62485"/>
    <w:rsid w:val="36DEA46F"/>
    <w:rsid w:val="37039E2A"/>
    <w:rsid w:val="37105BA8"/>
    <w:rsid w:val="371BE0A7"/>
    <w:rsid w:val="37331F5C"/>
    <w:rsid w:val="37516447"/>
    <w:rsid w:val="37572662"/>
    <w:rsid w:val="378DA8DB"/>
    <w:rsid w:val="3793DA4E"/>
    <w:rsid w:val="37EACFD9"/>
    <w:rsid w:val="3804CF52"/>
    <w:rsid w:val="38076280"/>
    <w:rsid w:val="38636BC3"/>
    <w:rsid w:val="3865784D"/>
    <w:rsid w:val="389906B3"/>
    <w:rsid w:val="38A3DCBD"/>
    <w:rsid w:val="38B63C2D"/>
    <w:rsid w:val="38CA5756"/>
    <w:rsid w:val="38CD25DD"/>
    <w:rsid w:val="38D6BEBB"/>
    <w:rsid w:val="38D8F4FB"/>
    <w:rsid w:val="39010B44"/>
    <w:rsid w:val="39079390"/>
    <w:rsid w:val="392FAAAF"/>
    <w:rsid w:val="3957D03D"/>
    <w:rsid w:val="395C9DDC"/>
    <w:rsid w:val="3962E653"/>
    <w:rsid w:val="3974C2A4"/>
    <w:rsid w:val="397E5BE9"/>
    <w:rsid w:val="39B46883"/>
    <w:rsid w:val="39BC1773"/>
    <w:rsid w:val="39F03FE6"/>
    <w:rsid w:val="39FEA4C5"/>
    <w:rsid w:val="3A0783E0"/>
    <w:rsid w:val="3A207999"/>
    <w:rsid w:val="3A328C68"/>
    <w:rsid w:val="3A34D714"/>
    <w:rsid w:val="3A453A0D"/>
    <w:rsid w:val="3A604A3F"/>
    <w:rsid w:val="3AB72079"/>
    <w:rsid w:val="3AC5499D"/>
    <w:rsid w:val="3ADE9003"/>
    <w:rsid w:val="3AE3198C"/>
    <w:rsid w:val="3AEB0712"/>
    <w:rsid w:val="3B0397DE"/>
    <w:rsid w:val="3B28BAF4"/>
    <w:rsid w:val="3B2A63D1"/>
    <w:rsid w:val="3B755CD9"/>
    <w:rsid w:val="3B823967"/>
    <w:rsid w:val="3B987C03"/>
    <w:rsid w:val="3B9B0C85"/>
    <w:rsid w:val="3BAE6F84"/>
    <w:rsid w:val="3BBCC661"/>
    <w:rsid w:val="3BBDB422"/>
    <w:rsid w:val="3BD8EB12"/>
    <w:rsid w:val="3BDCC14B"/>
    <w:rsid w:val="3BE5BA58"/>
    <w:rsid w:val="3BFEF669"/>
    <w:rsid w:val="3C16DB27"/>
    <w:rsid w:val="3C229C9C"/>
    <w:rsid w:val="3C2B0113"/>
    <w:rsid w:val="3C33C363"/>
    <w:rsid w:val="3C34B897"/>
    <w:rsid w:val="3C425B80"/>
    <w:rsid w:val="3C60E11F"/>
    <w:rsid w:val="3C6119FE"/>
    <w:rsid w:val="3C912559"/>
    <w:rsid w:val="3C977AB9"/>
    <w:rsid w:val="3C9F683F"/>
    <w:rsid w:val="3CC75E68"/>
    <w:rsid w:val="3CCF092B"/>
    <w:rsid w:val="3CED530C"/>
    <w:rsid w:val="3CEF2F46"/>
    <w:rsid w:val="3D099198"/>
    <w:rsid w:val="3D20C0BC"/>
    <w:rsid w:val="3D344C64"/>
    <w:rsid w:val="3DB2AB88"/>
    <w:rsid w:val="3E0FAEC8"/>
    <w:rsid w:val="3E152119"/>
    <w:rsid w:val="3E2AB4FA"/>
    <w:rsid w:val="3E4D834A"/>
    <w:rsid w:val="3E5E4190"/>
    <w:rsid w:val="3E701815"/>
    <w:rsid w:val="3E733A9D"/>
    <w:rsid w:val="3EA18B7E"/>
    <w:rsid w:val="3EB1FD1C"/>
    <w:rsid w:val="3ECDD339"/>
    <w:rsid w:val="3EDBD505"/>
    <w:rsid w:val="3F0EB00F"/>
    <w:rsid w:val="3F14620D"/>
    <w:rsid w:val="3F1784EF"/>
    <w:rsid w:val="3F30C225"/>
    <w:rsid w:val="3F454A95"/>
    <w:rsid w:val="3F4E7BE9"/>
    <w:rsid w:val="3F52780E"/>
    <w:rsid w:val="3F647768"/>
    <w:rsid w:val="3F739530"/>
    <w:rsid w:val="3FACCD0B"/>
    <w:rsid w:val="3FB20126"/>
    <w:rsid w:val="3FCE1BED"/>
    <w:rsid w:val="3FFDEBA8"/>
    <w:rsid w:val="4026D683"/>
    <w:rsid w:val="403A3522"/>
    <w:rsid w:val="4041325A"/>
    <w:rsid w:val="405F816A"/>
    <w:rsid w:val="40632BF8"/>
    <w:rsid w:val="406A0826"/>
    <w:rsid w:val="406E7DA8"/>
    <w:rsid w:val="4078C10F"/>
    <w:rsid w:val="40B35550"/>
    <w:rsid w:val="40CB3568"/>
    <w:rsid w:val="40E02DBC"/>
    <w:rsid w:val="40F07E00"/>
    <w:rsid w:val="410715C2"/>
    <w:rsid w:val="41267C5B"/>
    <w:rsid w:val="41345242"/>
    <w:rsid w:val="414DD187"/>
    <w:rsid w:val="41525B10"/>
    <w:rsid w:val="416540DF"/>
    <w:rsid w:val="416A4550"/>
    <w:rsid w:val="4183AFBC"/>
    <w:rsid w:val="41C2250C"/>
    <w:rsid w:val="41EB04AC"/>
    <w:rsid w:val="423E634B"/>
    <w:rsid w:val="4243F3D6"/>
    <w:rsid w:val="4278B5C3"/>
    <w:rsid w:val="427F0E1D"/>
    <w:rsid w:val="4282536D"/>
    <w:rsid w:val="42B19D04"/>
    <w:rsid w:val="42C28FC1"/>
    <w:rsid w:val="42C370BB"/>
    <w:rsid w:val="437DF9CF"/>
    <w:rsid w:val="43933AF6"/>
    <w:rsid w:val="4396A916"/>
    <w:rsid w:val="43D6EC5E"/>
    <w:rsid w:val="43E150CA"/>
    <w:rsid w:val="43E22608"/>
    <w:rsid w:val="43FD74DC"/>
    <w:rsid w:val="44822ED4"/>
    <w:rsid w:val="4485991D"/>
    <w:rsid w:val="4499E15D"/>
    <w:rsid w:val="4506216D"/>
    <w:rsid w:val="451A5227"/>
    <w:rsid w:val="453A66FD"/>
    <w:rsid w:val="453D790F"/>
    <w:rsid w:val="4547F522"/>
    <w:rsid w:val="457D7F97"/>
    <w:rsid w:val="45ACD6DA"/>
    <w:rsid w:val="45DA86E5"/>
    <w:rsid w:val="45FD2ECE"/>
    <w:rsid w:val="462DB9B9"/>
    <w:rsid w:val="465677A7"/>
    <w:rsid w:val="46B5BDBD"/>
    <w:rsid w:val="46B62288"/>
    <w:rsid w:val="46BD0F01"/>
    <w:rsid w:val="46DDBF2C"/>
    <w:rsid w:val="4706DD4B"/>
    <w:rsid w:val="4719C1F4"/>
    <w:rsid w:val="4719F079"/>
    <w:rsid w:val="471A2DCE"/>
    <w:rsid w:val="474FA43D"/>
    <w:rsid w:val="47765746"/>
    <w:rsid w:val="47A56BB6"/>
    <w:rsid w:val="47D9DB1E"/>
    <w:rsid w:val="483322C5"/>
    <w:rsid w:val="4838090B"/>
    <w:rsid w:val="4858DF62"/>
    <w:rsid w:val="4873FB17"/>
    <w:rsid w:val="48922F63"/>
    <w:rsid w:val="48C43767"/>
    <w:rsid w:val="4950AC26"/>
    <w:rsid w:val="49655A7B"/>
    <w:rsid w:val="4969EDE9"/>
    <w:rsid w:val="497DEB47"/>
    <w:rsid w:val="4A067AF8"/>
    <w:rsid w:val="4A5C9A16"/>
    <w:rsid w:val="4A602175"/>
    <w:rsid w:val="4A83C7A8"/>
    <w:rsid w:val="4A8D6552"/>
    <w:rsid w:val="4A9D86F3"/>
    <w:rsid w:val="4ABCAEE9"/>
    <w:rsid w:val="4AECC36B"/>
    <w:rsid w:val="4B0DB867"/>
    <w:rsid w:val="4B247284"/>
    <w:rsid w:val="4B3D3823"/>
    <w:rsid w:val="4B84E712"/>
    <w:rsid w:val="4B9EBAD9"/>
    <w:rsid w:val="4BC37F1B"/>
    <w:rsid w:val="4BDAACD7"/>
    <w:rsid w:val="4C2CFEF1"/>
    <w:rsid w:val="4C587F4A"/>
    <w:rsid w:val="4C9E3DC8"/>
    <w:rsid w:val="4CA988C8"/>
    <w:rsid w:val="4D033B27"/>
    <w:rsid w:val="4D1ACEEE"/>
    <w:rsid w:val="4D1F654F"/>
    <w:rsid w:val="4D39DFD0"/>
    <w:rsid w:val="4D3A1D3C"/>
    <w:rsid w:val="4D4578E2"/>
    <w:rsid w:val="4D574417"/>
    <w:rsid w:val="4D5809D1"/>
    <w:rsid w:val="4D762BAB"/>
    <w:rsid w:val="4D890378"/>
    <w:rsid w:val="4DBB99A6"/>
    <w:rsid w:val="4DC26A97"/>
    <w:rsid w:val="4DC37EC5"/>
    <w:rsid w:val="4DC8CF52"/>
    <w:rsid w:val="4DEE348D"/>
    <w:rsid w:val="4E057DA0"/>
    <w:rsid w:val="4E3376B6"/>
    <w:rsid w:val="4E35695C"/>
    <w:rsid w:val="4E3A2F40"/>
    <w:rsid w:val="4E3E3321"/>
    <w:rsid w:val="4EA74A8F"/>
    <w:rsid w:val="4EA8AD57"/>
    <w:rsid w:val="4EC6BC95"/>
    <w:rsid w:val="4EE896B7"/>
    <w:rsid w:val="4EFD22B3"/>
    <w:rsid w:val="4F60D675"/>
    <w:rsid w:val="4F649FB3"/>
    <w:rsid w:val="4F8A04EE"/>
    <w:rsid w:val="4F8B1A1C"/>
    <w:rsid w:val="4FB11120"/>
    <w:rsid w:val="504C325F"/>
    <w:rsid w:val="5051A17B"/>
    <w:rsid w:val="50687455"/>
    <w:rsid w:val="5078EBFB"/>
    <w:rsid w:val="5095B1F9"/>
    <w:rsid w:val="5097EA19"/>
    <w:rsid w:val="50B285E3"/>
    <w:rsid w:val="50D28CE1"/>
    <w:rsid w:val="50D85BAC"/>
    <w:rsid w:val="50E8E6E1"/>
    <w:rsid w:val="50F13343"/>
    <w:rsid w:val="50FAF6B2"/>
    <w:rsid w:val="5124A852"/>
    <w:rsid w:val="512BD763"/>
    <w:rsid w:val="51706C60"/>
    <w:rsid w:val="518D9107"/>
    <w:rsid w:val="5221A457"/>
    <w:rsid w:val="522D8259"/>
    <w:rsid w:val="52400992"/>
    <w:rsid w:val="524B06F6"/>
    <w:rsid w:val="526B335A"/>
    <w:rsid w:val="52744189"/>
    <w:rsid w:val="527C098A"/>
    <w:rsid w:val="52A6F54F"/>
    <w:rsid w:val="52BAB538"/>
    <w:rsid w:val="52E55BD6"/>
    <w:rsid w:val="52FC30C1"/>
    <w:rsid w:val="53013681"/>
    <w:rsid w:val="53061E3F"/>
    <w:rsid w:val="531AA6BF"/>
    <w:rsid w:val="53370F31"/>
    <w:rsid w:val="53903663"/>
    <w:rsid w:val="53A92154"/>
    <w:rsid w:val="53A95EC0"/>
    <w:rsid w:val="53C0B51F"/>
    <w:rsid w:val="540703BB"/>
    <w:rsid w:val="5415DAF8"/>
    <w:rsid w:val="5451A3F0"/>
    <w:rsid w:val="545CC7D4"/>
    <w:rsid w:val="5469917C"/>
    <w:rsid w:val="546B7EB5"/>
    <w:rsid w:val="548A0454"/>
    <w:rsid w:val="54CE5838"/>
    <w:rsid w:val="54D981AF"/>
    <w:rsid w:val="552A7726"/>
    <w:rsid w:val="553DC6AE"/>
    <w:rsid w:val="556C6437"/>
    <w:rsid w:val="5576835B"/>
    <w:rsid w:val="55B024A4"/>
    <w:rsid w:val="55CE67D5"/>
    <w:rsid w:val="55D7A102"/>
    <w:rsid w:val="56119AA3"/>
    <w:rsid w:val="5611FD00"/>
    <w:rsid w:val="5612BC9B"/>
    <w:rsid w:val="566012F3"/>
    <w:rsid w:val="56614C1C"/>
    <w:rsid w:val="567B94AC"/>
    <w:rsid w:val="568E681C"/>
    <w:rsid w:val="5690E31E"/>
    <w:rsid w:val="56EC5B28"/>
    <w:rsid w:val="56F6C53F"/>
    <w:rsid w:val="56FEE1A6"/>
    <w:rsid w:val="5712010A"/>
    <w:rsid w:val="574595E4"/>
    <w:rsid w:val="5759BC3F"/>
    <w:rsid w:val="5772300E"/>
    <w:rsid w:val="57A5106E"/>
    <w:rsid w:val="57ABD7F1"/>
    <w:rsid w:val="57DB92B8"/>
    <w:rsid w:val="57DF6065"/>
    <w:rsid w:val="580E2419"/>
    <w:rsid w:val="589AB207"/>
    <w:rsid w:val="58ACBD1C"/>
    <w:rsid w:val="58F10D85"/>
    <w:rsid w:val="58F58CA0"/>
    <w:rsid w:val="58F5E236"/>
    <w:rsid w:val="58F6887C"/>
    <w:rsid w:val="5906AD88"/>
    <w:rsid w:val="590E006F"/>
    <w:rsid w:val="5932A453"/>
    <w:rsid w:val="593EEFD8"/>
    <w:rsid w:val="5948D609"/>
    <w:rsid w:val="594A5D5D"/>
    <w:rsid w:val="594B28FF"/>
    <w:rsid w:val="596D3F52"/>
    <w:rsid w:val="599E53B1"/>
    <w:rsid w:val="59AC285F"/>
    <w:rsid w:val="59B588A0"/>
    <w:rsid w:val="59CE37D1"/>
    <w:rsid w:val="59DF0E01"/>
    <w:rsid w:val="59E0AD7F"/>
    <w:rsid w:val="59EDFFA4"/>
    <w:rsid w:val="59F1367E"/>
    <w:rsid w:val="5A0AD38D"/>
    <w:rsid w:val="5A1E1CB6"/>
    <w:rsid w:val="5A23709F"/>
    <w:rsid w:val="5A368268"/>
    <w:rsid w:val="5A661CD8"/>
    <w:rsid w:val="5A69A4DA"/>
    <w:rsid w:val="5A7957F8"/>
    <w:rsid w:val="5A915D01"/>
    <w:rsid w:val="5A9BCF8C"/>
    <w:rsid w:val="5AB46E73"/>
    <w:rsid w:val="5AB8DFCD"/>
    <w:rsid w:val="5ADAC039"/>
    <w:rsid w:val="5B176C55"/>
    <w:rsid w:val="5B3D99BC"/>
    <w:rsid w:val="5B5A0FFF"/>
    <w:rsid w:val="5B5BEB6D"/>
    <w:rsid w:val="5BC01479"/>
    <w:rsid w:val="5BE9FBB6"/>
    <w:rsid w:val="5BF1E93C"/>
    <w:rsid w:val="5C0FBD31"/>
    <w:rsid w:val="5C3A29AE"/>
    <w:rsid w:val="5C59B378"/>
    <w:rsid w:val="5C8735B5"/>
    <w:rsid w:val="5C98E348"/>
    <w:rsid w:val="5CA2FC49"/>
    <w:rsid w:val="5CCB0581"/>
    <w:rsid w:val="5CDB947C"/>
    <w:rsid w:val="5CE1244C"/>
    <w:rsid w:val="5CF3135A"/>
    <w:rsid w:val="5CF7BBCE"/>
    <w:rsid w:val="5D0B940D"/>
    <w:rsid w:val="5D15F4C9"/>
    <w:rsid w:val="5D28C670"/>
    <w:rsid w:val="5D3718A9"/>
    <w:rsid w:val="5D42744F"/>
    <w:rsid w:val="5D440132"/>
    <w:rsid w:val="5D50FB5C"/>
    <w:rsid w:val="5D8DB99D"/>
    <w:rsid w:val="5D9F2742"/>
    <w:rsid w:val="5DF61170"/>
    <w:rsid w:val="5E047084"/>
    <w:rsid w:val="5E1260FB"/>
    <w:rsid w:val="5E1D0EE5"/>
    <w:rsid w:val="5E4A2EBF"/>
    <w:rsid w:val="5EA1E025"/>
    <w:rsid w:val="5EE7E208"/>
    <w:rsid w:val="5EF6C2CB"/>
    <w:rsid w:val="5F15476A"/>
    <w:rsid w:val="5F305EE9"/>
    <w:rsid w:val="5F48A68F"/>
    <w:rsid w:val="5F75FD19"/>
    <w:rsid w:val="5FA040E5"/>
    <w:rsid w:val="5FC2195A"/>
    <w:rsid w:val="5FFB7C48"/>
    <w:rsid w:val="5FFE44DD"/>
    <w:rsid w:val="6002EC18"/>
    <w:rsid w:val="603C2C43"/>
    <w:rsid w:val="607A1511"/>
    <w:rsid w:val="60CC84DA"/>
    <w:rsid w:val="60D34FCD"/>
    <w:rsid w:val="60DDEB2B"/>
    <w:rsid w:val="61111A7C"/>
    <w:rsid w:val="611BDFE3"/>
    <w:rsid w:val="614AC7FA"/>
    <w:rsid w:val="614C6943"/>
    <w:rsid w:val="615BA016"/>
    <w:rsid w:val="61643F76"/>
    <w:rsid w:val="617FA339"/>
    <w:rsid w:val="61B1911F"/>
    <w:rsid w:val="61EDE1B3"/>
    <w:rsid w:val="6212CE46"/>
    <w:rsid w:val="6213D755"/>
    <w:rsid w:val="627EC76E"/>
    <w:rsid w:val="62BAF2BC"/>
    <w:rsid w:val="6309A865"/>
    <w:rsid w:val="630B9BBD"/>
    <w:rsid w:val="630DB1DA"/>
    <w:rsid w:val="6328D9EF"/>
    <w:rsid w:val="632C6DB7"/>
    <w:rsid w:val="634C2663"/>
    <w:rsid w:val="6357D783"/>
    <w:rsid w:val="6362053A"/>
    <w:rsid w:val="636AB2AF"/>
    <w:rsid w:val="6391CE49"/>
    <w:rsid w:val="63975DEF"/>
    <w:rsid w:val="63A1E471"/>
    <w:rsid w:val="63A2E69E"/>
    <w:rsid w:val="63B92056"/>
    <w:rsid w:val="64018E8F"/>
    <w:rsid w:val="640E3BA7"/>
    <w:rsid w:val="64158BED"/>
    <w:rsid w:val="644595A2"/>
    <w:rsid w:val="645110A3"/>
    <w:rsid w:val="648FB36F"/>
    <w:rsid w:val="649A1D20"/>
    <w:rsid w:val="649EAF82"/>
    <w:rsid w:val="64B25D98"/>
    <w:rsid w:val="64D340A2"/>
    <w:rsid w:val="64D5CA66"/>
    <w:rsid w:val="64E332B6"/>
    <w:rsid w:val="65033C0C"/>
    <w:rsid w:val="652D9EAA"/>
    <w:rsid w:val="6545FB3F"/>
    <w:rsid w:val="654D8634"/>
    <w:rsid w:val="655D592F"/>
    <w:rsid w:val="656EBC73"/>
    <w:rsid w:val="65867810"/>
    <w:rsid w:val="65A42DEC"/>
    <w:rsid w:val="65A6C0F0"/>
    <w:rsid w:val="65B3899C"/>
    <w:rsid w:val="6623DCA0"/>
    <w:rsid w:val="663CE6DF"/>
    <w:rsid w:val="66474C69"/>
    <w:rsid w:val="66621AC2"/>
    <w:rsid w:val="66C71052"/>
    <w:rsid w:val="66C96F0B"/>
    <w:rsid w:val="66D8D44A"/>
    <w:rsid w:val="66E95695"/>
    <w:rsid w:val="67129706"/>
    <w:rsid w:val="673B0B18"/>
    <w:rsid w:val="6786543D"/>
    <w:rsid w:val="679238E7"/>
    <w:rsid w:val="679C2C24"/>
    <w:rsid w:val="67A7B716"/>
    <w:rsid w:val="67AA0115"/>
    <w:rsid w:val="67B2F68B"/>
    <w:rsid w:val="67E793C7"/>
    <w:rsid w:val="68373CAF"/>
    <w:rsid w:val="684EA9EC"/>
    <w:rsid w:val="68676A7B"/>
    <w:rsid w:val="68812643"/>
    <w:rsid w:val="68AE6767"/>
    <w:rsid w:val="68B873B9"/>
    <w:rsid w:val="68CF386B"/>
    <w:rsid w:val="68E9768E"/>
    <w:rsid w:val="68FC9F04"/>
    <w:rsid w:val="69195C5B"/>
    <w:rsid w:val="69218920"/>
    <w:rsid w:val="696039D0"/>
    <w:rsid w:val="6979A0C8"/>
    <w:rsid w:val="698F09E7"/>
    <w:rsid w:val="6998DBA1"/>
    <w:rsid w:val="69D09153"/>
    <w:rsid w:val="69E97B20"/>
    <w:rsid w:val="69F1F791"/>
    <w:rsid w:val="69FAA7F2"/>
    <w:rsid w:val="6A1DB6AD"/>
    <w:rsid w:val="6A6BA514"/>
    <w:rsid w:val="6AEA974D"/>
    <w:rsid w:val="6B3453F5"/>
    <w:rsid w:val="6B59C51D"/>
    <w:rsid w:val="6B69D270"/>
    <w:rsid w:val="6B6EDD71"/>
    <w:rsid w:val="6B76E30B"/>
    <w:rsid w:val="6B94477C"/>
    <w:rsid w:val="6B97FEDB"/>
    <w:rsid w:val="6B9BD085"/>
    <w:rsid w:val="6BEA0438"/>
    <w:rsid w:val="6BFC79E6"/>
    <w:rsid w:val="6C0F3946"/>
    <w:rsid w:val="6C209DD2"/>
    <w:rsid w:val="6C582C44"/>
    <w:rsid w:val="6C5E9A21"/>
    <w:rsid w:val="6C7D7238"/>
    <w:rsid w:val="6C97624E"/>
    <w:rsid w:val="6CD7AA38"/>
    <w:rsid w:val="6CDB2C63"/>
    <w:rsid w:val="6D08E780"/>
    <w:rsid w:val="6D376431"/>
    <w:rsid w:val="6D37A0E6"/>
    <w:rsid w:val="6D3DCF8B"/>
    <w:rsid w:val="6D5D1809"/>
    <w:rsid w:val="6D79BAE9"/>
    <w:rsid w:val="6D982E2A"/>
    <w:rsid w:val="6DC5BECD"/>
    <w:rsid w:val="6DCEAFD7"/>
    <w:rsid w:val="6E204021"/>
    <w:rsid w:val="6E227A34"/>
    <w:rsid w:val="6E3CC7CB"/>
    <w:rsid w:val="6E5E91EC"/>
    <w:rsid w:val="6E615062"/>
    <w:rsid w:val="6E638A85"/>
    <w:rsid w:val="6E7043C5"/>
    <w:rsid w:val="6E76BD45"/>
    <w:rsid w:val="6EA4B7E1"/>
    <w:rsid w:val="6ED79F02"/>
    <w:rsid w:val="6EE7BCA7"/>
    <w:rsid w:val="6EF0FA5A"/>
    <w:rsid w:val="6F14D544"/>
    <w:rsid w:val="6F15AA52"/>
    <w:rsid w:val="6F2DEA01"/>
    <w:rsid w:val="6F374383"/>
    <w:rsid w:val="6F703236"/>
    <w:rsid w:val="6F769078"/>
    <w:rsid w:val="6F8226F6"/>
    <w:rsid w:val="6F82C48A"/>
    <w:rsid w:val="6F95045C"/>
    <w:rsid w:val="6FD4FB26"/>
    <w:rsid w:val="6FD6F096"/>
    <w:rsid w:val="6FE9C9E3"/>
    <w:rsid w:val="70003240"/>
    <w:rsid w:val="701A485E"/>
    <w:rsid w:val="701EE95E"/>
    <w:rsid w:val="703A9CFB"/>
    <w:rsid w:val="703D7EF3"/>
    <w:rsid w:val="706F41A8"/>
    <w:rsid w:val="70A54DE5"/>
    <w:rsid w:val="70BB5193"/>
    <w:rsid w:val="70C255CC"/>
    <w:rsid w:val="70C2C603"/>
    <w:rsid w:val="70CEF81F"/>
    <w:rsid w:val="712602A0"/>
    <w:rsid w:val="71270C00"/>
    <w:rsid w:val="712EF888"/>
    <w:rsid w:val="7130D4BD"/>
    <w:rsid w:val="7151A68D"/>
    <w:rsid w:val="715AA7E0"/>
    <w:rsid w:val="719B15D6"/>
    <w:rsid w:val="71A03E1C"/>
    <w:rsid w:val="71B618BF"/>
    <w:rsid w:val="72138714"/>
    <w:rsid w:val="72594751"/>
    <w:rsid w:val="727407A4"/>
    <w:rsid w:val="72933DA0"/>
    <w:rsid w:val="72BA0FE3"/>
    <w:rsid w:val="72BBEB51"/>
    <w:rsid w:val="7314331D"/>
    <w:rsid w:val="737054D3"/>
    <w:rsid w:val="738B7373"/>
    <w:rsid w:val="73A5A115"/>
    <w:rsid w:val="73DD685F"/>
    <w:rsid w:val="73E6D8BF"/>
    <w:rsid w:val="74099B5F"/>
    <w:rsid w:val="742168E0"/>
    <w:rsid w:val="74277007"/>
    <w:rsid w:val="743D283A"/>
    <w:rsid w:val="743DF15B"/>
    <w:rsid w:val="74415787"/>
    <w:rsid w:val="744D3D11"/>
    <w:rsid w:val="745A7FE4"/>
    <w:rsid w:val="7464FC52"/>
    <w:rsid w:val="747EDAA1"/>
    <w:rsid w:val="749E11EB"/>
    <w:rsid w:val="74D792A6"/>
    <w:rsid w:val="74D976ED"/>
    <w:rsid w:val="74EB063E"/>
    <w:rsid w:val="74FE4A09"/>
    <w:rsid w:val="750BEBAA"/>
    <w:rsid w:val="752D1F0F"/>
    <w:rsid w:val="7544164B"/>
    <w:rsid w:val="756C45C1"/>
    <w:rsid w:val="757A6B98"/>
    <w:rsid w:val="75902DBA"/>
    <w:rsid w:val="75C34068"/>
    <w:rsid w:val="75C39AE4"/>
    <w:rsid w:val="75DADB4D"/>
    <w:rsid w:val="75DD27E8"/>
    <w:rsid w:val="75F65045"/>
    <w:rsid w:val="7607CEA4"/>
    <w:rsid w:val="7639E24C"/>
    <w:rsid w:val="7656E1A6"/>
    <w:rsid w:val="7666E245"/>
    <w:rsid w:val="7684A971"/>
    <w:rsid w:val="769585A1"/>
    <w:rsid w:val="76B1A3CC"/>
    <w:rsid w:val="76BC21A2"/>
    <w:rsid w:val="76C279FC"/>
    <w:rsid w:val="76D33BF4"/>
    <w:rsid w:val="76D549FF"/>
    <w:rsid w:val="76DEE7A9"/>
    <w:rsid w:val="76E2B0E7"/>
    <w:rsid w:val="76F67B47"/>
    <w:rsid w:val="770A5D7E"/>
    <w:rsid w:val="771FF547"/>
    <w:rsid w:val="7725A3A2"/>
    <w:rsid w:val="772F092C"/>
    <w:rsid w:val="775F3ABE"/>
    <w:rsid w:val="77733522"/>
    <w:rsid w:val="7778F849"/>
    <w:rsid w:val="778A645C"/>
    <w:rsid w:val="778D8106"/>
    <w:rsid w:val="77940F00"/>
    <w:rsid w:val="77D9B71B"/>
    <w:rsid w:val="77F33D52"/>
    <w:rsid w:val="781D9F8B"/>
    <w:rsid w:val="7857F203"/>
    <w:rsid w:val="7858D2B2"/>
    <w:rsid w:val="785E4A5D"/>
    <w:rsid w:val="78631AA6"/>
    <w:rsid w:val="7876128E"/>
    <w:rsid w:val="787E8148"/>
    <w:rsid w:val="788E3A2A"/>
    <w:rsid w:val="78979F34"/>
    <w:rsid w:val="78C667F1"/>
    <w:rsid w:val="78C7CE7C"/>
    <w:rsid w:val="78F5A9D4"/>
    <w:rsid w:val="7904BBEA"/>
    <w:rsid w:val="790695E4"/>
    <w:rsid w:val="79169D44"/>
    <w:rsid w:val="791B0BE8"/>
    <w:rsid w:val="792634BD"/>
    <w:rsid w:val="792DF107"/>
    <w:rsid w:val="79570E6B"/>
    <w:rsid w:val="795FCEB5"/>
    <w:rsid w:val="797DD2DC"/>
    <w:rsid w:val="79C5BE12"/>
    <w:rsid w:val="79E483D4"/>
    <w:rsid w:val="79F777A8"/>
    <w:rsid w:val="7A40FDE8"/>
    <w:rsid w:val="7A791D9D"/>
    <w:rsid w:val="7A877ADE"/>
    <w:rsid w:val="7AB0990B"/>
    <w:rsid w:val="7AB52065"/>
    <w:rsid w:val="7ABFC093"/>
    <w:rsid w:val="7AC2051E"/>
    <w:rsid w:val="7B04BB83"/>
    <w:rsid w:val="7B0E0A2B"/>
    <w:rsid w:val="7B19A33D"/>
    <w:rsid w:val="7B265751"/>
    <w:rsid w:val="7B446FC7"/>
    <w:rsid w:val="7B44CAC0"/>
    <w:rsid w:val="7B4C1272"/>
    <w:rsid w:val="7B5B0EF1"/>
    <w:rsid w:val="7B5C9AD4"/>
    <w:rsid w:val="7B942771"/>
    <w:rsid w:val="7BAF0F98"/>
    <w:rsid w:val="7BCF3FF6"/>
    <w:rsid w:val="7BE0EA0F"/>
    <w:rsid w:val="7BFDDD69"/>
    <w:rsid w:val="7C2D4A96"/>
    <w:rsid w:val="7C365D1F"/>
    <w:rsid w:val="7C5569D6"/>
    <w:rsid w:val="7CA9DA8C"/>
    <w:rsid w:val="7CB61C86"/>
    <w:rsid w:val="7CB774E2"/>
    <w:rsid w:val="7CB9F6AC"/>
    <w:rsid w:val="7CBCFB6C"/>
    <w:rsid w:val="7CF22014"/>
    <w:rsid w:val="7D021D91"/>
    <w:rsid w:val="7D06C0D4"/>
    <w:rsid w:val="7D2B6326"/>
    <w:rsid w:val="7D3500D0"/>
    <w:rsid w:val="7D4670AF"/>
    <w:rsid w:val="7D4F4341"/>
    <w:rsid w:val="7D7D72C4"/>
    <w:rsid w:val="7D8465E7"/>
    <w:rsid w:val="7DC91AF7"/>
    <w:rsid w:val="7DE839CD"/>
    <w:rsid w:val="7E30AB7E"/>
    <w:rsid w:val="7E627ED6"/>
    <w:rsid w:val="7E630F34"/>
    <w:rsid w:val="7E885DDC"/>
    <w:rsid w:val="7E94FD1A"/>
    <w:rsid w:val="7E998713"/>
    <w:rsid w:val="7E9BC807"/>
    <w:rsid w:val="7EA5DC4D"/>
    <w:rsid w:val="7EEDC2CC"/>
    <w:rsid w:val="7F194325"/>
    <w:rsid w:val="7F26711B"/>
    <w:rsid w:val="7F49FE3E"/>
    <w:rsid w:val="7F64EB58"/>
    <w:rsid w:val="7FB08312"/>
    <w:rsid w:val="7FBDCAB3"/>
    <w:rsid w:val="7FE2C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7D1D68D"/>
  <w15:chartTrackingRefBased/>
  <w15:docId w15:val="{3C74484D-18C0-4873-89A2-4EE68BD0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563C1" w:themeColor="hyperlink"/>
      <w:u w:val="single"/>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semiHidden/>
    <w:unhideWhenUsed/>
    <w:rsid w:val="00E333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475120"/>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64728D"/>
    <w:rPr>
      <w:b/>
      <w:bCs/>
    </w:rPr>
  </w:style>
  <w:style w:type="character" w:customStyle="1" w:styleId="AssuntodocomentrioChar">
    <w:name w:val="Assunto do comentário Char"/>
    <w:basedOn w:val="TextodecomentrioChar"/>
    <w:link w:val="Assuntodocomentrio"/>
    <w:uiPriority w:val="99"/>
    <w:semiHidden/>
    <w:rsid w:val="0064728D"/>
    <w:rPr>
      <w:b/>
      <w:bCs/>
      <w:sz w:val="20"/>
      <w:szCs w:val="20"/>
    </w:rPr>
  </w:style>
  <w:style w:type="paragraph" w:customStyle="1" w:styleId="Pa4">
    <w:name w:val="Pa4"/>
    <w:basedOn w:val="Normal"/>
    <w:next w:val="Normal"/>
    <w:uiPriority w:val="99"/>
    <w:rsid w:val="00461355"/>
    <w:pPr>
      <w:autoSpaceDE w:val="0"/>
      <w:autoSpaceDN w:val="0"/>
      <w:adjustRightInd w:val="0"/>
      <w:spacing w:after="0" w:line="201" w:lineRule="atLeast"/>
    </w:pPr>
    <w:rPr>
      <w:rFonts w:ascii="Open Sans" w:hAnsi="Open Sans" w:cs="Times New Roman"/>
      <w:sz w:val="24"/>
      <w:szCs w:val="24"/>
    </w:rPr>
  </w:style>
  <w:style w:type="character" w:customStyle="1" w:styleId="normaltextrun">
    <w:name w:val="normaltextrun"/>
    <w:basedOn w:val="Fontepargpadro"/>
    <w:rsid w:val="002E45F5"/>
  </w:style>
  <w:style w:type="character" w:customStyle="1" w:styleId="eop">
    <w:name w:val="eop"/>
    <w:basedOn w:val="Fontepargpadro"/>
    <w:rsid w:val="002E45F5"/>
  </w:style>
  <w:style w:type="character" w:styleId="HiperlinkVisitado">
    <w:name w:val="FollowedHyperlink"/>
    <w:basedOn w:val="Fontepargpadro"/>
    <w:uiPriority w:val="99"/>
    <w:semiHidden/>
    <w:unhideWhenUsed/>
    <w:rsid w:val="00F823F6"/>
    <w:rPr>
      <w:color w:val="954F72" w:themeColor="followedHyperlink"/>
      <w:u w:val="single"/>
    </w:rPr>
  </w:style>
  <w:style w:type="paragraph" w:styleId="Cabealho">
    <w:name w:val="header"/>
    <w:basedOn w:val="Normal"/>
    <w:link w:val="CabealhoChar"/>
    <w:uiPriority w:val="99"/>
    <w:unhideWhenUsed/>
    <w:rsid w:val="00104B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4BB6"/>
  </w:style>
  <w:style w:type="paragraph" w:styleId="Rodap">
    <w:name w:val="footer"/>
    <w:basedOn w:val="Normal"/>
    <w:link w:val="RodapChar"/>
    <w:uiPriority w:val="99"/>
    <w:unhideWhenUsed/>
    <w:rsid w:val="00104BB6"/>
    <w:pPr>
      <w:tabs>
        <w:tab w:val="center" w:pos="4252"/>
        <w:tab w:val="right" w:pos="8504"/>
      </w:tabs>
      <w:spacing w:after="0" w:line="240" w:lineRule="auto"/>
    </w:pPr>
  </w:style>
  <w:style w:type="character" w:customStyle="1" w:styleId="RodapChar">
    <w:name w:val="Rodapé Char"/>
    <w:basedOn w:val="Fontepargpadro"/>
    <w:link w:val="Rodap"/>
    <w:uiPriority w:val="99"/>
    <w:rsid w:val="0010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1744">
      <w:bodyDiv w:val="1"/>
      <w:marLeft w:val="0"/>
      <w:marRight w:val="0"/>
      <w:marTop w:val="0"/>
      <w:marBottom w:val="0"/>
      <w:divBdr>
        <w:top w:val="none" w:sz="0" w:space="0" w:color="auto"/>
        <w:left w:val="none" w:sz="0" w:space="0" w:color="auto"/>
        <w:bottom w:val="none" w:sz="0" w:space="0" w:color="auto"/>
        <w:right w:val="none" w:sz="0" w:space="0" w:color="auto"/>
      </w:divBdr>
    </w:div>
    <w:div w:id="1128815007">
      <w:bodyDiv w:val="1"/>
      <w:marLeft w:val="0"/>
      <w:marRight w:val="0"/>
      <w:marTop w:val="0"/>
      <w:marBottom w:val="0"/>
      <w:divBdr>
        <w:top w:val="none" w:sz="0" w:space="0" w:color="auto"/>
        <w:left w:val="none" w:sz="0" w:space="0" w:color="auto"/>
        <w:bottom w:val="none" w:sz="0" w:space="0" w:color="auto"/>
        <w:right w:val="none" w:sz="0" w:space="0" w:color="auto"/>
      </w:divBdr>
    </w:div>
    <w:div w:id="1216283010">
      <w:bodyDiv w:val="1"/>
      <w:marLeft w:val="0"/>
      <w:marRight w:val="0"/>
      <w:marTop w:val="0"/>
      <w:marBottom w:val="0"/>
      <w:divBdr>
        <w:top w:val="none" w:sz="0" w:space="0" w:color="auto"/>
        <w:left w:val="none" w:sz="0" w:space="0" w:color="auto"/>
        <w:bottom w:val="none" w:sz="0" w:space="0" w:color="auto"/>
        <w:right w:val="none" w:sz="0" w:space="0" w:color="auto"/>
      </w:divBdr>
    </w:div>
    <w:div w:id="16402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planalto.gov.br/ccivil_03/_ato2015-2018/2015/decreto/d8540.htm" TargetMode="External"/><Relationship Id="rId39" Type="http://schemas.openxmlformats.org/officeDocument/2006/relationships/hyperlink" Target="https://www.planalto.gov.br/ccivil_03/leis/L8429compilada.htm" TargetMode="External"/><Relationship Id="rId21" Type="http://schemas.openxmlformats.org/officeDocument/2006/relationships/hyperlink" Target="about:blank" TargetMode="External"/><Relationship Id="rId34" Type="http://schemas.openxmlformats.org/officeDocument/2006/relationships/hyperlink" Target="https://www.planalto.gov.br/ccivil_03/_ato2015-2018/2018/lei/l13726.htm" TargetMode="External"/><Relationship Id="rId42" Type="http://schemas.openxmlformats.org/officeDocument/2006/relationships/hyperlink" Target="https://www.planalto.gov.br/ccivil_03/leis/lcp/lcp101.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gov.br/compras/pt-br/acesso-a-informacao/legislacao/instrucoes-normativas/instrucao-normativa-seges-me-no-98-de-26-de-dezembro-de-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br/compras/pt-br/acesso-a-informacao/legislacao/portarias/portaria-me-no-7-828-de-30-de-agosto-de-2022" TargetMode="External"/><Relationship Id="rId32" Type="http://schemas.openxmlformats.org/officeDocument/2006/relationships/hyperlink" Target="https://www.planalto.gov.br/ccivil_03/_ato2011-2014/2014/lei/l12965.htm" TargetMode="External"/><Relationship Id="rId37" Type="http://schemas.openxmlformats.org/officeDocument/2006/relationships/hyperlink" Target="https://pesquisa.apps.tcu.gov.br/documento/acordao-completo/*/NUMACORDAO%253A1134%2520ANOACORDAO%253A2017%2520COLEGIADO%253A%2522Plen%25C3%25A1rio%2522%2520/DTRELEVANCIA%2520desc%252C%2520NUMACORDAOINT%2520desc/0" TargetMode="External"/><Relationship Id="rId40" Type="http://schemas.openxmlformats.org/officeDocument/2006/relationships/hyperlink" Target="https://www.planalto.gov.br/ccivil_03/leis/2002/L10522compilado.ht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gov.br/agu/pt-br/composicao/cgu/cgu/onsagu" TargetMode="External"/><Relationship Id="rId28" Type="http://schemas.openxmlformats.org/officeDocument/2006/relationships/hyperlink" Target="https://www.gov.br/compras/pt-br/acesso-a-informacao/legislacao/instrucoes-normativas/instrucao-normativa-no-5-de-26-de-maio-de-2017-atualizada" TargetMode="External"/><Relationship Id="rId36" Type="http://schemas.openxmlformats.org/officeDocument/2006/relationships/hyperlink" Target="https://www.planalto.gov.br/ccivil_03/leis/2002/l10522.htm" TargetMode="Externa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hyperlink" Target="https://www.planalto.gov.br/ccivil_03/_ato2015-2018/2018/decreto/d9507.ht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gov.br/compras/pt-br/acesso-a-informacao/legislacao/portarias/portaria-no-6-de-15-de-janeiro-de-2018" TargetMode="External"/><Relationship Id="rId30" Type="http://schemas.openxmlformats.org/officeDocument/2006/relationships/hyperlink" Target="https://www.planalto.gov.br/ccivil_03/leis/l4320.htm" TargetMode="External"/><Relationship Id="rId35" Type="http://schemas.openxmlformats.org/officeDocument/2006/relationships/hyperlink" Target="http://www.planalto.gov.br/ccivil_03/_Ato2019-2022/2020/Decreto/D10332.htm"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gov.br/compras/pt-br/acesso-a-informacao/legislacao/portarias/portaria-me-no-7-828-de-30-de-agosto-de-2022" TargetMode="External"/><Relationship Id="rId33" Type="http://schemas.openxmlformats.org/officeDocument/2006/relationships/hyperlink" Target="https://www.planalto.gov.br/ccivil_03/_ato2015-2018/2017/lei/l13460.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theme" Target="theme/theme1.xml"/><Relationship Id="rId20" Type="http://schemas.openxmlformats.org/officeDocument/2006/relationships/hyperlink" Target="about:blank" TargetMode="External"/><Relationship Id="rId41" Type="http://schemas.openxmlformats.org/officeDocument/2006/relationships/hyperlink" Target="https://www.gov.br/compras/pt-br/agente-publico/orientacoes-e-procedimentos/midia/notasei-652-2017.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3e49fb-bdc2-4760-8452-31999e19643b">
      <Terms xmlns="http://schemas.microsoft.com/office/infopath/2007/PartnerControls"/>
    </lcf76f155ced4ddcb4097134ff3c332f>
    <TaxCatchAll xmlns="597230be-81b2-49ee-a851-bc0bffface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031E294F893E4C9BA7B10E57B921B8" ma:contentTypeVersion="17" ma:contentTypeDescription="Create a new document." ma:contentTypeScope="" ma:versionID="45b2a62518a61a7ec352a9e9f1be5cc6">
  <xsd:schema xmlns:xsd="http://www.w3.org/2001/XMLSchema" xmlns:xs="http://www.w3.org/2001/XMLSchema" xmlns:p="http://schemas.microsoft.com/office/2006/metadata/properties" xmlns:ns2="a43e49fb-bdc2-4760-8452-31999e19643b" xmlns:ns3="597230be-81b2-49ee-a851-bc0bfffacec1" targetNamespace="http://schemas.microsoft.com/office/2006/metadata/properties" ma:root="true" ma:fieldsID="8f509a8c91a41df88653176aa74db4a3" ns2:_="" ns3:_="">
    <xsd:import namespace="a43e49fb-bdc2-4760-8452-31999e19643b"/>
    <xsd:import namespace="597230be-81b2-49ee-a851-bc0bffface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e49fb-bdc2-4760-8452-31999e196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9e577-b2f7-4427-8dd6-cea986f8b0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230be-81b2-49ee-a851-bc0bffface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ed89d4-d21a-40df-8b24-9ae2a43c1841}" ma:internalName="TaxCatchAll" ma:showField="CatchAllData" ma:web="597230be-81b2-49ee-a851-bc0bfffac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61C54-A564-47EE-8411-F7E952611282}">
  <ds:schemaRefs>
    <ds:schemaRef ds:uri="http://schemas.openxmlformats.org/officeDocument/2006/bibliography"/>
  </ds:schemaRefs>
</ds:datastoreItem>
</file>

<file path=customXml/itemProps2.xml><?xml version="1.0" encoding="utf-8"?>
<ds:datastoreItem xmlns:ds="http://schemas.openxmlformats.org/officeDocument/2006/customXml" ds:itemID="{553A3C2F-07FE-449C-B0A4-078E2A178DAF}">
  <ds:schemaRefs>
    <ds:schemaRef ds:uri="http://schemas.microsoft.com/office/2006/metadata/properties"/>
    <ds:schemaRef ds:uri="http://schemas.microsoft.com/office/infopath/2007/PartnerControls"/>
    <ds:schemaRef ds:uri="a43e49fb-bdc2-4760-8452-31999e19643b"/>
    <ds:schemaRef ds:uri="597230be-81b2-49ee-a851-bc0bfffacec1"/>
  </ds:schemaRefs>
</ds:datastoreItem>
</file>

<file path=customXml/itemProps3.xml><?xml version="1.0" encoding="utf-8"?>
<ds:datastoreItem xmlns:ds="http://schemas.openxmlformats.org/officeDocument/2006/customXml" ds:itemID="{3C796F76-1E6C-48E6-AB61-4E2D0282018C}">
  <ds:schemaRefs>
    <ds:schemaRef ds:uri="http://schemas.microsoft.com/sharepoint/v3/contenttype/forms"/>
  </ds:schemaRefs>
</ds:datastoreItem>
</file>

<file path=customXml/itemProps4.xml><?xml version="1.0" encoding="utf-8"?>
<ds:datastoreItem xmlns:ds="http://schemas.openxmlformats.org/officeDocument/2006/customXml" ds:itemID="{5E2AFE9B-4CBA-4EF5-978B-7960A915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e49fb-bdc2-4760-8452-31999e19643b"/>
    <ds:schemaRef ds:uri="597230be-81b2-49ee-a851-bc0bfffac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8265</Words>
  <Characters>44637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Ruy Vieira</dc:creator>
  <cp:keywords/>
  <dc:description/>
  <cp:lastModifiedBy>Gustavo Moreno de Freitas</cp:lastModifiedBy>
  <cp:revision>8</cp:revision>
  <dcterms:created xsi:type="dcterms:W3CDTF">2023-11-06T13:58:00Z</dcterms:created>
  <dcterms:modified xsi:type="dcterms:W3CDTF">2023-11-16T12:32:00Z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0x010100BE031E294F893E4C9BA7B10E57B921B8</vt:lpwstr>
  </property>
  <property fmtid="{D5CDD505-2E9C-101B-9397-08002B2CF9AE}" pid="3" name="MediaServiceImageTags">
    <vt:lpwstr/>
  </property>
  <property fmtid="{D5CDD505-2E9C-101B-9397-08002B2CF9AE}" pid="4" name="Observação">
    <vt:lpwstr>OK</vt:lpwstr>
  </property>
  <property fmtid="{D5CDD505-2E9C-101B-9397-08002B2CF9AE}" pid="5" name="CHECKMARCELA">
    <vt:lpwstr>OK</vt:lpwstr>
  </property>
</Properties>
</file>