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 w:val="false"/>
        <w:spacing w:lineRule="auto" w:line="276"/>
        <w:rPr>
          <w:rFonts w:ascii="Arial" w:hAnsi="Arial"/>
          <w:caps w:val="false"/>
          <w:smallCaps w:val="false"/>
          <w:strike w:val="false"/>
          <w:dstrike w:val="false"/>
          <w:outline w:val="false"/>
          <w:color w:val="000000"/>
          <w:position w:val="0"/>
          <w:sz w:val="22"/>
          <w:sz w:val="22"/>
          <w:szCs w:val="22"/>
          <w:u w:val="none" w:color="000000"/>
          <w:shd w:fill="auto" w:val="clear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false"/>
          <w:smallCaps w:val="false"/>
          <w:strike w:val="false"/>
          <w:dstrike w:val="false"/>
          <w:outline w:val="false"/>
          <w:color w:val="000000"/>
          <w:position w:val="0"/>
          <w:sz w:val="22"/>
          <w:sz w:val="22"/>
          <w:szCs w:val="22"/>
          <w:u w:val="none" w:color="000000"/>
          <w:shd w:fill="auto" w:val="clear"/>
          <w:vertAlign w:val="baseline"/>
          <w14:textFill>
            <w14:solidFill>
              <w14:srgbClr w14:val="000000"/>
            </w14:solidFill>
          </w14:textFill>
        </w:rPr>
      </w:r>
    </w:p>
    <w:tbl>
      <w:tblPr>
        <w:tblW w:w="10701" w:type="dxa"/>
        <w:jc w:val="left"/>
        <w:tblInd w:w="11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134"/>
        <w:gridCol w:w="4216"/>
        <w:gridCol w:w="5350"/>
      </w:tblGrid>
      <w:tr>
        <w:trPr>
          <w:trHeight w:val="1229" w:hRule="atLeast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/>
            </w:pPr>
            <w:r>
              <w:rPr>
                <w:sz w:val="20"/>
                <w:szCs w:val="20"/>
                <w:shd w:fill="auto" w:val="clear"/>
                <w:lang w:val="pt-PT"/>
              </w:rPr>
              <w:t xml:space="preserve"> </w:t>
            </w:r>
            <w:r>
              <w:rPr/>
              <w:drawing>
                <wp:inline distT="0" distB="0" distL="0" distR="0">
                  <wp:extent cx="492125" cy="573405"/>
                  <wp:effectExtent l="0" t="0" r="0" b="0"/>
                  <wp:docPr id="1" name="officeArt object" descr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fficeArt object" descr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57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b/>
                <w:bCs/>
                <w:sz w:val="36"/>
                <w:szCs w:val="36"/>
                <w:shd w:fill="auto" w:val="clear"/>
                <w:lang w:val="pt-PT"/>
              </w:rPr>
              <w:t>UNIVERSIDADE DO RIO DE JANEIRO  (UNI-RIO)</w:t>
            </w:r>
          </w:p>
          <w:p>
            <w:pPr>
              <w:pStyle w:val="Normal1"/>
              <w:keepNext w:val="true"/>
              <w:widowControl w:val="false"/>
              <w:bidi w:val="0"/>
              <w:spacing w:before="0" w:after="0"/>
              <w:ind w:left="0" w:right="0" w:hanging="0"/>
              <w:jc w:val="center"/>
              <w:rPr>
                <w:b/>
                <w:b/>
                <w:bCs/>
                <w:sz w:val="28"/>
                <w:szCs w:val="28"/>
                <w:shd w:fill="auto" w:val="clear"/>
              </w:rPr>
            </w:pPr>
            <w:r>
              <w:rPr>
                <w:b/>
                <w:bCs/>
                <w:sz w:val="28"/>
                <w:szCs w:val="28"/>
                <w:shd w:fill="auto" w:val="clear"/>
                <w:lang w:val="pt-PT"/>
              </w:rPr>
              <w:t>CENTRO DE LETRAS E ARTES – INSTITUTO VILLA LOBOS</w:t>
            </w:r>
          </w:p>
          <w:p>
            <w:pPr>
              <w:pStyle w:val="Normal1"/>
              <w:keepNext w:val="true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b/>
                <w:bCs/>
                <w:sz w:val="28"/>
                <w:szCs w:val="28"/>
                <w:shd w:fill="auto" w:val="clear"/>
                <w:lang w:val="pt-PT"/>
              </w:rPr>
              <w:t>DEPARTAMENTO DE EDUCAÇÃO MUSICAL</w:t>
            </w:r>
          </w:p>
        </w:tc>
      </w:tr>
      <w:tr>
        <w:trPr>
          <w:trHeight w:val="489" w:hRule="atLeast"/>
        </w:trPr>
        <w:tc>
          <w:tcPr>
            <w:tcW w:w="10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keepNext w:val="true"/>
              <w:widowControl w:val="false"/>
              <w:spacing w:before="0" w:after="0"/>
              <w:jc w:val="center"/>
              <w:rPr/>
            </w:pPr>
            <w:r>
              <w:rPr>
                <w:b/>
                <w:bCs/>
                <w:sz w:val="28"/>
                <w:szCs w:val="28"/>
                <w:shd w:fill="auto" w:val="clear"/>
                <w:lang w:val="pt-PT"/>
              </w:rPr>
              <w:t>PROGRAMA DE DISCIPLINA</w:t>
            </w:r>
          </w:p>
        </w:tc>
      </w:tr>
      <w:tr>
        <w:trPr>
          <w:trHeight w:val="489" w:hRule="atLeast"/>
        </w:trPr>
        <w:tc>
          <w:tcPr>
            <w:tcW w:w="10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/>
            </w:pPr>
            <w:r>
              <w:rPr>
                <w:b/>
                <w:bCs/>
                <w:sz w:val="28"/>
                <w:szCs w:val="28"/>
                <w:shd w:fill="auto" w:val="clear"/>
                <w:lang w:val="pt-PT"/>
              </w:rPr>
              <w:t>CURSOS:</w:t>
            </w:r>
            <w:r>
              <w:rPr>
                <w:sz w:val="28"/>
                <w:szCs w:val="28"/>
                <w:shd w:fill="auto" w:val="clear"/>
                <w:lang w:val="pt-PT"/>
              </w:rPr>
              <w:t xml:space="preserve"> Graduação em Música - </w:t>
            </w:r>
            <w:r>
              <w:rPr>
                <w:sz w:val="28"/>
                <w:szCs w:val="28"/>
                <w:lang w:val="pt-PT"/>
              </w:rPr>
              <w:t>Licenciatura e</w:t>
            </w:r>
            <w:r>
              <w:rPr>
                <w:sz w:val="28"/>
                <w:szCs w:val="28"/>
                <w:shd w:fill="auto" w:val="clear"/>
                <w:lang w:val="pt-PT"/>
              </w:rPr>
              <w:t xml:space="preserve"> Bacharelados.</w:t>
            </w:r>
          </w:p>
        </w:tc>
      </w:tr>
      <w:tr>
        <w:trPr>
          <w:trHeight w:val="1869" w:hRule="atLeast"/>
        </w:trPr>
        <w:tc>
          <w:tcPr>
            <w:tcW w:w="5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>
                <w:sz w:val="28"/>
                <w:szCs w:val="28"/>
                <w:shd w:fill="auto" w:val="clear"/>
              </w:rPr>
            </w:pPr>
            <w:r>
              <w:rPr>
                <w:b/>
                <w:bCs/>
                <w:sz w:val="28"/>
                <w:szCs w:val="28"/>
                <w:shd w:fill="auto" w:val="clear"/>
                <w:lang w:val="pt-PT"/>
              </w:rPr>
              <w:t>DISCIPLINA:</w:t>
            </w:r>
            <w:r>
              <w:rPr>
                <w:sz w:val="28"/>
                <w:szCs w:val="28"/>
                <w:shd w:fill="auto" w:val="clear"/>
                <w:lang w:val="pt-PT"/>
              </w:rPr>
              <w:t xml:space="preserve"> PROCESSOS DE MUSICALIZAÇÃO VI</w:t>
            </w:r>
          </w:p>
          <w:p>
            <w:pPr>
              <w:pStyle w:val="Normal1"/>
              <w:widowControl w:val="false"/>
              <w:spacing w:before="0" w:after="0"/>
              <w:jc w:val="both"/>
              <w:rPr>
                <w:sz w:val="14"/>
                <w:szCs w:val="14"/>
                <w:shd w:fill="auto" w:val="clear"/>
                <w:lang w:val="pt-PT"/>
              </w:rPr>
            </w:pPr>
            <w:r>
              <w:rPr>
                <w:sz w:val="14"/>
                <w:szCs w:val="14"/>
                <w:shd w:fill="auto" w:val="clear"/>
                <w:lang w:val="pt-PT"/>
              </w:rPr>
            </w:r>
          </w:p>
          <w:p>
            <w:pPr>
              <w:pStyle w:val="Normal1"/>
              <w:widowControl w:val="fals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sz w:val="24"/>
                <w:szCs w:val="24"/>
                <w:shd w:fill="auto" w:val="clear"/>
                <w:lang w:val="pt-PT"/>
              </w:rPr>
              <w:t>obs: PROM I a VI numericamente referidos apenas como somatório de módulos a serem cursados, como obrigatórios ou optativos.</w:t>
            </w:r>
          </w:p>
        </w:tc>
        <w:tc>
          <w:tcPr>
            <w:tcW w:w="5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>
                <w:sz w:val="28"/>
                <w:szCs w:val="28"/>
                <w:shd w:fill="auto" w:val="clear"/>
              </w:rPr>
            </w:pPr>
            <w:r>
              <w:rPr>
                <w:b/>
                <w:bCs/>
                <w:sz w:val="28"/>
                <w:szCs w:val="28"/>
                <w:shd w:fill="auto" w:val="clear"/>
                <w:lang w:val="pt-PT"/>
              </w:rPr>
              <w:t>CÓDIGO:</w:t>
            </w:r>
            <w:r>
              <w:rPr>
                <w:sz w:val="28"/>
                <w:szCs w:val="28"/>
                <w:shd w:fill="auto" w:val="clear"/>
                <w:lang w:val="pt-PT"/>
              </w:rPr>
              <w:t xml:space="preserve"> </w:t>
            </w:r>
          </w:p>
          <w:p>
            <w:pPr>
              <w:pStyle w:val="Normal1"/>
              <w:widowControl w:val="false"/>
              <w:bidi w:val="0"/>
              <w:spacing w:before="0" w:after="0"/>
              <w:ind w:left="0" w:right="0" w:hanging="0"/>
              <w:jc w:val="left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  <w:lang w:val="pt-PT"/>
              </w:rPr>
              <w:t>AEM0099</w:t>
            </w:r>
          </w:p>
        </w:tc>
      </w:tr>
      <w:tr>
        <w:trPr>
          <w:trHeight w:val="469" w:hRule="atLeast"/>
        </w:trPr>
        <w:tc>
          <w:tcPr>
            <w:tcW w:w="5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/>
            </w:pPr>
            <w:r>
              <w:rPr>
                <w:b/>
                <w:bCs/>
                <w:sz w:val="24"/>
                <w:szCs w:val="24"/>
                <w:shd w:fill="auto" w:val="clear"/>
                <w:lang w:val="pt-PT"/>
              </w:rPr>
              <w:t>CRÉDITOS:</w:t>
            </w:r>
            <w:r>
              <w:rPr>
                <w:sz w:val="24"/>
                <w:szCs w:val="24"/>
                <w:shd w:fill="auto" w:val="clear"/>
                <w:lang w:val="pt-PT"/>
              </w:rPr>
              <w:t xml:space="preserve">         03 Teórico-Práticos</w:t>
            </w:r>
          </w:p>
        </w:tc>
        <w:tc>
          <w:tcPr>
            <w:tcW w:w="5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/>
            </w:pPr>
            <w:r>
              <w:rPr>
                <w:b/>
                <w:bCs/>
                <w:sz w:val="24"/>
                <w:szCs w:val="24"/>
                <w:shd w:fill="auto" w:val="clear"/>
                <w:lang w:val="pt-PT"/>
              </w:rPr>
              <w:t>CARGA HORÁRIA</w:t>
            </w:r>
            <w:r>
              <w:rPr>
                <w:sz w:val="24"/>
                <w:szCs w:val="24"/>
                <w:shd w:fill="auto" w:val="clear"/>
                <w:lang w:val="pt-PT"/>
              </w:rPr>
              <w:t>:    45</w:t>
            </w:r>
          </w:p>
        </w:tc>
      </w:tr>
      <w:tr>
        <w:trPr>
          <w:trHeight w:val="469" w:hRule="atLeast"/>
        </w:trPr>
        <w:tc>
          <w:tcPr>
            <w:tcW w:w="10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/>
            </w:pPr>
            <w:r>
              <w:rPr>
                <w:b/>
                <w:bCs/>
                <w:sz w:val="24"/>
                <w:szCs w:val="24"/>
                <w:shd w:fill="auto" w:val="clear"/>
                <w:lang w:val="pt-PT"/>
              </w:rPr>
              <w:t>PRÉ-REQUISITO:</w:t>
            </w:r>
            <w:r>
              <w:rPr>
                <w:sz w:val="24"/>
                <w:szCs w:val="24"/>
                <w:shd w:fill="auto" w:val="clear"/>
                <w:lang w:val="pt-PT"/>
              </w:rPr>
              <w:t xml:space="preserve">  Não tem.</w:t>
            </w:r>
          </w:p>
        </w:tc>
      </w:tr>
      <w:tr>
        <w:trPr>
          <w:trHeight w:val="2569" w:hRule="atLeast"/>
        </w:trPr>
        <w:tc>
          <w:tcPr>
            <w:tcW w:w="10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jc w:val="both"/>
              <w:rPr/>
            </w:pPr>
            <w:r>
              <w:rPr>
                <w:b/>
                <w:bCs/>
                <w:sz w:val="24"/>
                <w:szCs w:val="24"/>
                <w:shd w:fill="auto" w:val="clear"/>
                <w:lang w:val="pt-PT"/>
              </w:rPr>
              <w:t>EMENTA:</w:t>
            </w:r>
            <w:r>
              <w:rPr>
                <w:sz w:val="24"/>
                <w:szCs w:val="24"/>
                <w:shd w:fill="auto" w:val="clear"/>
                <w:lang w:val="pt-PT"/>
              </w:rPr>
              <w:t xml:space="preserve"> Definições de música e competências do músico; seleção e organização de saberes. Os múltiplos espaços de ensino e aprendizagem musical no Brasil e no âmbito internacional. Paradigmas e tendências de orientação  de currículo na educação básica (infantil, ensino fundamental e médio), na educação profissional e  nas escolas/conservatórios de música: retrospectiva histórica e visão prospectiva. Os múltiplos espaços para atuação do educador musical. Cultura e Educação: os materiais da cultura e as práticas musicais na educação. O lugar da criação no processo educacional. Leitura e escrita musical, experiência vocal e instrumental, criação e apreciação musical nos diferentes projetos pedagógico-musicais. Estudos em cognição e currículo. </w:t>
            </w:r>
          </w:p>
        </w:tc>
      </w:tr>
      <w:tr>
        <w:trPr>
          <w:trHeight w:val="2569" w:hRule="atLeast"/>
        </w:trPr>
        <w:tc>
          <w:tcPr>
            <w:tcW w:w="10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>
                <w:sz w:val="24"/>
                <w:szCs w:val="24"/>
                <w:shd w:fill="auto" w:val="clear"/>
              </w:rPr>
            </w:pPr>
            <w:r>
              <w:rPr>
                <w:b/>
                <w:bCs/>
                <w:sz w:val="24"/>
                <w:szCs w:val="24"/>
                <w:shd w:fill="auto" w:val="clear"/>
                <w:lang w:val="pt-PT"/>
              </w:rPr>
              <w:t>OBJETIVOS DA DISCIPLINA:</w:t>
            </w:r>
          </w:p>
          <w:p>
            <w:pPr>
              <w:pStyle w:val="Normal1"/>
              <w:widowControl w:val="fals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sz w:val="24"/>
                <w:szCs w:val="24"/>
                <w:shd w:fill="auto" w:val="clear"/>
                <w:lang w:val="pt-PT"/>
              </w:rPr>
              <w:t xml:space="preserve">Analisar, a partir de uma perspectiva histórica, os conceitos e funções da educação musical nos contextos de educação escolar e da academia. Debater sobre a natureza do conhecimento musical e sobre processos de transmissão e criação em música. Compreender o funcionamento dos processos de educação musical nos diversos contextos em que ocorrem.  Analisar materiais da cultura e práticas musicais visando o mapeamento de direções de estruturas integradas de ensino. Avaliar a concepção e condução de processos de musicalização, considerando seus marcos referenciais – situacional, teórico e operativo. Capacitar o aluno a uma participação consciente e autônoma, crítica e embasada em espaços de prática de educação musical. </w:t>
            </w:r>
          </w:p>
        </w:tc>
      </w:tr>
      <w:tr>
        <w:trPr>
          <w:trHeight w:val="5705" w:hRule="atLeast"/>
        </w:trPr>
        <w:tc>
          <w:tcPr>
            <w:tcW w:w="10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>
                <w:sz w:val="24"/>
                <w:szCs w:val="24"/>
                <w:shd w:fill="auto" w:val="clear"/>
              </w:rPr>
            </w:pPr>
            <w:r>
              <w:rPr>
                <w:b/>
                <w:bCs/>
                <w:sz w:val="24"/>
                <w:szCs w:val="24"/>
                <w:shd w:fill="auto" w:val="clear"/>
                <w:lang w:val="pt-PT"/>
              </w:rPr>
              <w:t>CONTEÚDO PROGRAMÁTICO:</w:t>
            </w:r>
            <w:r>
              <w:rPr>
                <w:sz w:val="24"/>
                <w:szCs w:val="24"/>
                <w:shd w:fill="auto" w:val="clear"/>
                <w:lang w:val="pt-PT"/>
              </w:rPr>
              <w:t xml:space="preserve">  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20" w:right="0" w:hanging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shd w:fill="auto" w:val="clear"/>
                <w:lang w:val="pt-PT"/>
              </w:rPr>
              <w:t>Conceitos e funções atribuídos à música nos currículos da educação básica (infantil, ensino fundamental e médio), da educação profissional e das escolas/conservatórios de música.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20" w:right="0" w:hanging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shd w:fill="auto" w:val="clear"/>
                <w:lang w:val="pt-PT"/>
              </w:rPr>
              <w:t xml:space="preserve">Trajetórias de formação do músico: perfis e competências nos  múltiplos espaços de ensino e aprendizagem musical no Brasil e no âmbito internacional. 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20" w:right="0" w:hanging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shd w:fill="auto" w:val="clear"/>
                <w:lang w:val="pt-PT"/>
              </w:rPr>
              <w:t>Aprendizagem Musical "Não Formal" e Aprendizagem  Musical "Formal": instabilização de fronteiras.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20" w:right="0" w:hanging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shd w:fill="auto" w:val="clear"/>
                <w:lang w:val="pt-PT"/>
              </w:rPr>
              <w:t>Tendências do pensamento pedagógico-musical no Brasil e no âmbito internacional: concepções de ensino e de musicalização.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20" w:right="0" w:hanging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shd w:fill="auto" w:val="clear"/>
                <w:lang w:val="pt-PT"/>
              </w:rPr>
              <w:t xml:space="preserve">Marcos referenciais para a elaboração de um projeto pedagógico: o debate sobre a natureza do conhecimento musical, abordagens psicológicas, filosóficas, antropológicas e/ou sociológicas em educação musical e aproximações com os estudos etnomusicológicos. 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20" w:right="0" w:hanging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shd w:fill="auto" w:val="clear"/>
                <w:lang w:val="pt-PT"/>
              </w:rPr>
              <w:t>Mediação no ensino e na aprendizagem: mediação social, materiais e técnicas. Materiais de ensino e publicações.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20" w:right="0" w:hanging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shd w:fill="auto" w:val="clear"/>
                <w:lang w:val="pt-PT"/>
              </w:rPr>
              <w:t>Planejamento e avaliação de currículos de ensino de música e tratamento de programas: processos de criação, componentes e fontes geradoras; a intervenção pedagógica, a previsibilidade e o brincar com estruturas. Parâmetros ordenadores e estruturas abertas. A improvisação como técnica pedagógica.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20" w:right="0" w:hanging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shd w:fill="auto" w:val="clear"/>
                <w:lang w:val="pt-PT"/>
              </w:rPr>
              <w:t>Materiais da cultura e práticas musicais na educação: concepções num enfoque moderno e pós-moderno em educação. A transposição didática. Critérios de leitura / análise.</w:t>
            </w:r>
          </w:p>
        </w:tc>
      </w:tr>
    </w:tbl>
    <w:p>
      <w:pPr>
        <w:pStyle w:val="Normal1"/>
        <w:widowControl w:val="false"/>
        <w:ind w:left="2" w:right="0" w:hanging="2"/>
        <w:rPr>
          <w:rFonts w:ascii="Arial" w:hAnsi="Arial" w:eastAsia="Arial" w:cs="Arial"/>
          <w:caps w:val="false"/>
          <w:smallCaps w:val="false"/>
          <w:strike w:val="false"/>
          <w:dstrike w:val="false"/>
          <w:outline w:val="false"/>
          <w:color w:val="000000"/>
          <w:position w:val="0"/>
          <w:sz w:val="22"/>
          <w:sz w:val="22"/>
          <w:szCs w:val="22"/>
          <w:u w:val="none" w:color="000000"/>
          <w:shd w:fill="auto" w:val="clear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eastAsia="Arial" w:cs="Arial" w:ascii="Arial" w:hAnsi="Arial"/>
          <w:caps w:val="false"/>
          <w:smallCaps w:val="false"/>
          <w:strike w:val="false"/>
          <w:dstrike w:val="false"/>
          <w:outline w:val="false"/>
          <w:color w:val="000000"/>
          <w:position w:val="0"/>
          <w:sz w:val="22"/>
          <w:sz w:val="22"/>
          <w:szCs w:val="22"/>
          <w:u w:val="none" w:color="000000"/>
          <w:shd w:fill="auto" w:val="clear"/>
          <w:vertAlign w:val="baseline"/>
          <w14:textFill>
            <w14:solidFill>
              <w14:srgbClr w14:val="000000"/>
            </w14:solidFill>
          </w14:textFill>
        </w:rPr>
      </w:r>
    </w:p>
    <w:p>
      <w:pPr>
        <w:pStyle w:val="Normal1"/>
        <w:rPr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r>
    </w:p>
    <w:p>
      <w:pPr>
        <w:pStyle w:val="Normal1"/>
        <w:rPr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r>
    </w:p>
    <w:p>
      <w:pPr>
        <w:pStyle w:val="Normal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" w:right="283" w:hanging="283"/>
        <w:jc w:val="both"/>
        <w:rPr>
          <w:position w:val="0"/>
          <w:sz w:val="24"/>
          <w:sz w:val="24"/>
          <w:szCs w:val="24"/>
          <w:vertAlign w:val="baseline"/>
        </w:rPr>
      </w:pPr>
      <w:r>
        <w:rPr>
          <w:b/>
          <w:bCs/>
          <w:position w:val="0"/>
          <w:sz w:val="24"/>
          <w:sz w:val="24"/>
          <w:szCs w:val="24"/>
          <w:vertAlign w:val="baseline"/>
          <w:lang w:val="pt-PT"/>
        </w:rPr>
        <w:t xml:space="preserve">BIBLIOGRAFIA: </w:t>
      </w:r>
    </w:p>
    <w:p>
      <w:pPr>
        <w:pStyle w:val="Normal1"/>
        <w:ind w:left="567" w:right="283" w:hanging="283"/>
        <w:jc w:val="both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Normal1"/>
        <w:ind w:left="567" w:right="283" w:hanging="283"/>
        <w:jc w:val="both"/>
        <w:rPr>
          <w:sz w:val="24"/>
          <w:szCs w:val="24"/>
        </w:rPr>
      </w:pPr>
      <w:r>
        <w:rPr>
          <w:lang w:val="pt-PT"/>
        </w:rPr>
        <w:t>ARROYO, Margarete. Representações sociais sobre práticas de ensino e aprendizagem musical: um estudo etnográfico entre congadeiros, professores e estudantes de música. Tese de Doutorado. P Alegre: UFRGS, 1999.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BEYER, Esther. A Ed Musical sob a perspectiva de uma construção teórica: uma análise histórica. Fundamentos da Ed Musical. ABEM n. 01, 1993, p. 05-25</w:t>
      </w:r>
    </w:p>
    <w:p>
      <w:pPr>
        <w:pStyle w:val="Normal1"/>
        <w:ind w:left="567" w:right="283" w:hanging="283"/>
        <w:jc w:val="both"/>
        <w:rPr>
          <w:rFonts w:ascii="Times Roman" w:hAnsi="Times Roman" w:eastAsia="Times Roman" w:cs="Times Roman"/>
          <w:sz w:val="24"/>
          <w:szCs w:val="24"/>
        </w:rPr>
      </w:pPr>
      <w:r>
        <w:rPr>
          <w:lang w:val="pt-PT"/>
        </w:rPr>
        <w:t xml:space="preserve">BRASIL. </w:t>
      </w:r>
      <w:r>
        <w:rPr>
          <w:rFonts w:ascii="Times Roman" w:hAnsi="Times Roman"/>
          <w:b/>
          <w:bCs/>
          <w:lang w:val="pt-PT"/>
        </w:rPr>
        <w:t>Base Nacional Comum Curricular</w:t>
      </w:r>
      <w:r>
        <w:rPr>
          <w:lang w:val="pt-PT"/>
        </w:rPr>
        <w:t xml:space="preserve">. Arte. Brasilia: Ministério da Educação , 2017. Disponível em: </w:t>
      </w:r>
      <w:r>
        <w:rPr>
          <w:outline w:val="false"/>
          <w:color w:val="0563C0"/>
          <w:lang w:val="pt-PT"/>
          <w14:textFill>
            <w14:solidFill>
              <w14:srgbClr w14:val="0563C1"/>
            </w14:solidFill>
          </w14:textFill>
        </w:rPr>
        <w:t>http://basenacionalcomum.mec.gov.br</w:t>
      </w:r>
      <w:r>
        <w:rPr>
          <w:lang w:val="pt-PT"/>
        </w:rPr>
        <w:t xml:space="preserve">. Acesso em 17 ago.2020. </w:t>
      </w:r>
    </w:p>
    <w:p>
      <w:pPr>
        <w:pStyle w:val="Normal1"/>
        <w:ind w:left="567" w:right="283" w:hanging="283"/>
        <w:jc w:val="both"/>
        <w:rPr>
          <w:rFonts w:ascii="Times Roman" w:hAnsi="Times Roman" w:eastAsia="Times Roman" w:cs="Times Roman"/>
          <w:sz w:val="24"/>
          <w:szCs w:val="24"/>
        </w:rPr>
      </w:pPr>
      <w:r>
        <w:rPr>
          <w:lang w:val="pt-PT"/>
        </w:rPr>
        <w:t xml:space="preserve">BRASIL. </w:t>
      </w:r>
      <w:r>
        <w:rPr>
          <w:rFonts w:ascii="Times Roman" w:hAnsi="Times Roman"/>
          <w:b/>
          <w:bCs/>
          <w:lang w:val="pt-PT"/>
        </w:rPr>
        <w:t>Lei de diretrizes e bases da educação nacional. Lei 9.394 de 20/12/1996</w:t>
      </w:r>
      <w:r>
        <w:rPr>
          <w:lang w:val="pt-PT"/>
        </w:rPr>
        <w:t xml:space="preserve">. Brasília: Presidência da República, 1996. Disponível em: </w:t>
      </w:r>
      <w:r>
        <w:rPr>
          <w:outline w:val="false"/>
          <w:color w:val="0563C0"/>
          <w:lang w:val="pt-PT"/>
          <w14:textFill>
            <w14:solidFill>
              <w14:srgbClr w14:val="0563C1"/>
            </w14:solidFill>
          </w14:textFill>
        </w:rPr>
        <w:t>http://www.planalto.gov.br/ ccivil_03/leis/l9394.htm</w:t>
      </w:r>
      <w:r>
        <w:rPr>
          <w:lang w:val="pt-PT"/>
        </w:rPr>
        <w:t xml:space="preserve">. Acesso em 17 ago.2020. 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COMPAGNON &amp; THOMET. Educacion del Sentido Rítmico.B Aires: Kapelusz,1966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Dennis, Brian.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Projects in sound</w:t>
      </w:r>
      <w:r>
        <w:rPr>
          <w:position w:val="0"/>
          <w:sz w:val="21"/>
          <w:sz w:val="21"/>
          <w:szCs w:val="21"/>
          <w:vertAlign w:val="baseline"/>
          <w:lang w:val="pt-PT"/>
        </w:rPr>
        <w:t>. London: Universal Edition, 1975.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DUARTE, Mônica. A Teoria das Representações Sociais: uma perspectiva para o ensino da música. In: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Raízes e Rumos.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Rio de Janeiro, UNIRIO, ano 4, no. 8, p. 18-21, 1997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______. Aplicação da Teoria das Representações Sociais ao Ensino da Música. IN: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Anais do XI Encontro Nacional da ANPPOM. </w:t>
      </w:r>
      <w:r>
        <w:rPr>
          <w:position w:val="0"/>
          <w:sz w:val="21"/>
          <w:sz w:val="21"/>
          <w:szCs w:val="21"/>
          <w:vertAlign w:val="baseline"/>
          <w:lang w:val="pt-PT"/>
        </w:rPr>
        <w:t>Campinas, Instituto de Artes da UNICAMP, p. 210-213, 1998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Contribuições da Retórica para o estudo da representação de ‘música' por alunos e professores de escolas de ensino fundamental.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Comunicação nos Colóquios do Programa de Pós-Graduação em Música da Unirio. Rio de Janeiro, 2000, mimeo.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 A Prática Interacionista em Música: uma proposta pedagógica.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Debates, </w:t>
      </w:r>
      <w:r>
        <w:rPr>
          <w:position w:val="0"/>
          <w:sz w:val="21"/>
          <w:sz w:val="21"/>
          <w:szCs w:val="21"/>
          <w:vertAlign w:val="baseline"/>
          <w:lang w:val="pt-PT"/>
        </w:rPr>
        <w:t>n. 4, Cadernos do Programa de Pós-Graduação e mMúsica do CLÃ da UNIRIO. Rio de Jnaeiro, CLÃ / UNIRIO, p,. 75-94, 2001.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EISNER, Elliot. Estrutura e Mágica no Ensino da Arte. in. Barbosa, Ana Mae Tavares Bastos (org). </w:t>
      </w:r>
      <w:r>
        <w:rPr>
          <w:position w:val="0"/>
          <w:sz w:val="21"/>
          <w:sz w:val="21"/>
          <w:szCs w:val="21"/>
          <w:u w:val="single" w:color="FFFFFF"/>
          <w:vertAlign w:val="baseline"/>
          <w:lang w:val="pt-PT"/>
        </w:rPr>
        <w:t>Arte-Educação: leitura no subsolo</w:t>
      </w:r>
      <w:r>
        <w:rPr>
          <w:position w:val="0"/>
          <w:sz w:val="21"/>
          <w:sz w:val="21"/>
          <w:szCs w:val="21"/>
          <w:vertAlign w:val="baseline"/>
          <w:lang w:val="pt-PT"/>
        </w:rPr>
        <w:t>. 2 ed revista. São Paulo: Cortez, 1999, p. 78-94. [seqüência e continuidade no planejamento; estrutura: como as coisas se relacionam]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FERNANDES, José Nunes.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Oficinas de Música no Brasil -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história e metodologia. Rio de Janeiro: Papéis e Cópias, 1997.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FLUSSER, Victor. A Música (contemporânea) e a prática musical com crianças. In. Kater, Carlos (ed.) </w:t>
      </w:r>
      <w:r>
        <w:rPr>
          <w:position w:val="0"/>
          <w:sz w:val="21"/>
          <w:sz w:val="21"/>
          <w:szCs w:val="21"/>
          <w:u w:val="single" w:color="FFFFFF"/>
          <w:vertAlign w:val="baseline"/>
          <w:lang w:val="pt-PT"/>
        </w:rPr>
        <w:t>Cadernos de Estudo de Ed. Musical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. N° 2 / 3 . São Paulo : Atravez, Ass. Artístico - Cultural em conv. com a Esc. Mús.  UFMG, Fev./Ag. 1991.pp.59 -66. (apost 69)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_________. Da Percepção à Concepção: Uma Abordagem da Ed. Musical. In. Kater, Carlos (ed). </w:t>
      </w:r>
      <w:r>
        <w:rPr>
          <w:position w:val="0"/>
          <w:sz w:val="21"/>
          <w:sz w:val="21"/>
          <w:szCs w:val="21"/>
          <w:u w:val="single" w:color="FFFFFF"/>
          <w:vertAlign w:val="baseline"/>
          <w:lang w:val="pt-PT"/>
        </w:rPr>
        <w:t>Cadernos de Estudo de Ed. Musical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. N° 4 / 5 . São Paulo : Atravez, Ass. Artístico - Cultural em conv. Com a Esc. Mús.  UFMG, nov 1994, pp.117 - 119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FUKS, Rosa. </w:t>
      </w:r>
      <w:r>
        <w:rPr>
          <w:position w:val="0"/>
          <w:sz w:val="20"/>
          <w:vertAlign w:val="baseline"/>
          <w:lang w:val="pt-PT"/>
        </w:rPr>
        <w:t>O discurso do silêncio. Rio de Janeiro: Enelivros, 1991.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GAINZA, Violeta Hensy de..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La Improvisacion Musical</w:t>
      </w:r>
      <w:r>
        <w:rPr>
          <w:position w:val="0"/>
          <w:sz w:val="21"/>
          <w:sz w:val="21"/>
          <w:szCs w:val="21"/>
          <w:vertAlign w:val="baseline"/>
          <w:lang w:val="pt-PT"/>
        </w:rPr>
        <w:t>. B.Aires: Ricordi Americana, 1983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Gazzi de Sá. [Gazzi Galvão de Sá].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Musicalização. Método Gazzi de Sá</w:t>
      </w:r>
      <w:r>
        <w:rPr>
          <w:position w:val="0"/>
          <w:sz w:val="21"/>
          <w:sz w:val="21"/>
          <w:szCs w:val="21"/>
          <w:vertAlign w:val="baseline"/>
          <w:lang w:val="pt-PT"/>
        </w:rPr>
        <w:t>. Rio de Janeiro: Pro-Arte/INM – FUNARTE, 1990.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Graetzer, Guillermo &amp; Yepes, Antonio.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Introduccion a la practica del Orff-Schulwerk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. 4.ed. Buenos Aires: Barry, 1961. 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Hegner, Hermann.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 Orff-Schulwerk. Canções das crianças brasileiras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Mainz: B. Schott´s Söhne, 1965.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lang w:val="pt-PT"/>
        </w:rPr>
        <w:t>GREEN, Lucy. Ensino da música popular em si, para si mesma e para “outra música’: uma pesquisa atual em sala de aula. </w:t>
      </w:r>
      <w:r>
        <w:rPr>
          <w:b/>
          <w:bCs/>
          <w:lang w:val="pt-PT"/>
        </w:rPr>
        <w:t>Revista da ABEM</w:t>
      </w:r>
      <w:r>
        <w:rPr>
          <w:lang w:val="pt-PT"/>
        </w:rPr>
        <w:t>, Londrina, v.20, n.28, p. 61-80, 2012.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HENTSCHKE, Liane. Relações da prática com a teoria na educação musical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JACQUES-DALCROZE, Émile. Rhythm, Music and Education. England: The dalcroze Society, 1967.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sz w:val="21"/>
          <w:szCs w:val="21"/>
          <w:lang w:val="pt-PT"/>
        </w:rPr>
        <w:t xml:space="preserve">_____________ </w:t>
      </w:r>
      <w:r>
        <w:rPr>
          <w:position w:val="0"/>
          <w:sz w:val="21"/>
          <w:sz w:val="21"/>
          <w:szCs w:val="21"/>
          <w:vertAlign w:val="baseline"/>
          <w:lang w:val="pt-PT"/>
        </w:rPr>
        <w:t>Methode Jaques-Dalcroze. 1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Partie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. Gymnastique Rythmique</w:t>
      </w:r>
      <w:r>
        <w:rPr>
          <w:position w:val="0"/>
          <w:sz w:val="21"/>
          <w:sz w:val="21"/>
          <w:szCs w:val="21"/>
          <w:vertAlign w:val="baseline"/>
          <w:lang w:val="pt-PT"/>
        </w:rPr>
        <w:t>. Lausanne: Jobin &amp; Cie Éditeurs, 1916.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_____________ Methode Jaques-Dalcroze. 1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Partie.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La Rythmique</w:t>
      </w:r>
      <w:r>
        <w:rPr>
          <w:position w:val="0"/>
          <w:sz w:val="21"/>
          <w:sz w:val="21"/>
          <w:szCs w:val="21"/>
          <w:vertAlign w:val="baseline"/>
          <w:lang w:val="pt-PT"/>
        </w:rPr>
        <w:t>. Lausanne: Jobin &amp; Cie Éditeurs, 1916.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_____________ Methode Jaques-Dalcroze. 2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Partie.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Etude de la portée musicale</w:t>
      </w:r>
      <w:r>
        <w:rPr>
          <w:position w:val="0"/>
          <w:sz w:val="21"/>
          <w:sz w:val="21"/>
          <w:szCs w:val="21"/>
          <w:vertAlign w:val="baseline"/>
          <w:lang w:val="pt-PT"/>
        </w:rPr>
        <w:t>. Lausanne: Jobin &amp; Cie Éditeurs, 1916.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_____________ Methode Jaques-Dalcroze. 3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Partie, Três Volumes.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Les gammes et les Tonalités, laPhraeé et les Nuances.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Lausanne: Jobin &amp; Cie Éditeurs, 1916.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_____________ Methode Jaques-Dalcroze. 4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Partie.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Les Interralles et les Accordes.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 Lausanne: Jobin &amp; Cie Éditeurs, 1916.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_____________ Methode Jaques-Dalcroze. 5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Partie.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L´Improvisation et l´Accompagnement au piano.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Lausanne: Jobin &amp; Cie Éditeurs, 1916.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_____________ Methode Jaques-Dalcroze. 6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Partie. Dois Volumes.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La Plastique Animée.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Lausanne: Jobin &amp; Cie Éditeurs, 1916.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_____________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Rhythm, Music and Education</w:t>
      </w:r>
      <w:r>
        <w:rPr>
          <w:position w:val="0"/>
          <w:sz w:val="21"/>
          <w:sz w:val="21"/>
          <w:szCs w:val="21"/>
          <w:vertAlign w:val="baseline"/>
          <w:lang w:val="pt-PT"/>
        </w:rPr>
        <w:t>. Published by The Dalcroze Society (Inc.). London, The Riverside Press Ltd., 1967. Second Edition. [1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edição em francês em 1921).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KEMP, Anthony E. (compilador). La Música en el Curículo de la Escuela Secundaria. In._______ 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Aproximaciones a la Investigación en Educación Musical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trad. Ana L. Frega y Dina P. de Grätzer. Collegium Musicum: B. Aires, 1993. pp.117 - 124.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Kodály, Zoltán. Metodo Coral.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Cantemos correctamente a dos voces.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Edición Castellana de Antonio Yepes. Buenos Aires, Barry, s.d. [1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edição, 1941, London: Bossey &amp; Hawkes]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Let Us Sing Correctly.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London: Bossey &amp; Hawkes, 1968.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Bicinia Hungarica I.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Revisão da edição inglesa de Geoffry Russell-Smith. London: Bossey &amp; Hawkes, 1968.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Bicinia Hungarica II.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Revisão da edição inglesa de Geoffry Russell-Smith. London: Bossey &amp; Hawkes, 1968.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Bicinia Hungarica III</w:t>
      </w:r>
      <w:r>
        <w:rPr>
          <w:position w:val="0"/>
          <w:sz w:val="21"/>
          <w:sz w:val="21"/>
          <w:szCs w:val="21"/>
          <w:vertAlign w:val="baseline"/>
          <w:lang w:val="pt-PT"/>
        </w:rPr>
        <w:t>. Revisão da edição inglesa de Percy m. Young. London: Bossey &amp; Hawkes, 1968.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Bicinia Hungarica IV.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Revisão da edição inglesa de Geoffry Russell-Smith. London: Bossey &amp; Hawkes, 1968.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77 two-part exercises.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London: Bossey &amp; Hawkes, 1967.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66 two-part exercises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. Revisão da edição inglesa de Geoffry Russell-Smith. London: Bossey &amp; Hawkes, 1968.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33 two-part exercises</w:t>
      </w:r>
      <w:r>
        <w:rPr>
          <w:position w:val="0"/>
          <w:sz w:val="21"/>
          <w:sz w:val="21"/>
          <w:szCs w:val="21"/>
          <w:vertAlign w:val="baseline"/>
          <w:lang w:val="pt-PT"/>
        </w:rPr>
        <w:t>. London: Bossey &amp; Hawkes, 1966.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44 two-part exercises</w:t>
      </w:r>
      <w:r>
        <w:rPr>
          <w:position w:val="0"/>
          <w:sz w:val="21"/>
          <w:sz w:val="21"/>
          <w:szCs w:val="21"/>
          <w:vertAlign w:val="baseline"/>
          <w:lang w:val="pt-PT"/>
        </w:rPr>
        <w:t>. London: Bossey &amp; Hawkes, 1968.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Tricinia.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London: Bossey &amp; Hawkes, 1968.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Epigrams.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Revisão da edição inglesa de Geoffry Russell-Smith. London: Bossey &amp; Hawkes, 1963.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Fifteen Two-part exercises.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London: Bossey &amp; Hawkes, 1952.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24 little canons on the black keys.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London: Bossey &amp; Hawkes, 1957.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333 reading exercises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. Bossey &amp; Hawkes, 1957. 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KOELLREUTTER, H .J. Por uma nova Teoria da Música, por um novo ensino da teoria musical. In. Kater, Carlos (org.)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Cadernos de Estudo: Educação  Musical.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Belo Horizonte: Atravez / EM UFMG / FEA / FAPEMIG, 1997, p.45-52  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__________. Educação Musical no Terceiro Mundo. In. Kater , Carlos. (ed.)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Cadernos de Estudo de Ed. Musical.</w:t>
      </w:r>
      <w:r>
        <w:rPr>
          <w:position w:val="0"/>
          <w:sz w:val="21"/>
          <w:sz w:val="21"/>
          <w:szCs w:val="21"/>
          <w:u w:val="single" w:color="FFFFFF"/>
          <w:vertAlign w:val="baseline"/>
          <w:lang w:val="pt-PT"/>
        </w:rPr>
        <w:t xml:space="preserve"> </w:t>
      </w:r>
      <w:r>
        <w:rPr>
          <w:position w:val="0"/>
          <w:sz w:val="21"/>
          <w:sz w:val="21"/>
          <w:szCs w:val="21"/>
          <w:vertAlign w:val="baseline"/>
          <w:lang w:val="pt-PT"/>
        </w:rPr>
        <w:t>N° 1 .São Paulo:Atravez, Ass. Artístico- Cultural em convênio com a Esc. Música da UFMG. Ag. 1990, pp. 01 - 08 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_____________. O Humano: o objetivo de Estudos Musicais na Escola Moderna.(palestra de abertura).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ANAIS do 3° Simpósio Paranaense de Educação Musical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Londrina, 1994, pp. 10 - 17. 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u w:val="single" w:color="FFFFFF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O ensino da música num mundo modificado.  In. Kater , Carlos.(edit.)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Cadernos de Estudo: Educação  Musical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. Belo Horizonte: Atravez / EM UFMG / FEA / FAPEMIG, 1997, p. 37-44.  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______________. O Espírito Criador e o Ensino Pré-Figurativo. In. Kater, Carlos (org.)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Cadernos de Estudo: Educação  Musical.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Belo Horizonte: Atravez / EM UFMG / FEA / FAPEMIG, 1997, p. 53-59 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______________. Encontro com Koellreutter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Landis, Beth &amp; Cerder, Polly.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The ecletic curriculum in american music educatin: contributions of Dalcroze, Kodaly, and Orff</w:t>
      </w:r>
      <w:r>
        <w:rPr>
          <w:position w:val="0"/>
          <w:sz w:val="21"/>
          <w:sz w:val="21"/>
          <w:szCs w:val="21"/>
          <w:vertAlign w:val="baseline"/>
          <w:lang w:val="pt-PT"/>
        </w:rPr>
        <w:t>. Washington: MENC, 1972.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MADUREIRA, Antonio.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Iniciação à Música do Nordeste.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CNPq.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 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Martins, Maria de Lourdes.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Orff-Schulwerk. Canções para as escolas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Mainz: B. Schott´s Söhne, s.d.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Meyer-Denkmann, Gertrud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. Experiments in sound.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London: Universal Edition, 1977. 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Mignone, Liddy Chiafarelli.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Guia para o professor recreação musical</w:t>
      </w:r>
      <w:r>
        <w:rPr>
          <w:position w:val="0"/>
          <w:sz w:val="21"/>
          <w:sz w:val="21"/>
          <w:szCs w:val="21"/>
          <w:vertAlign w:val="baseline"/>
          <w:lang w:val="pt-PT"/>
        </w:rPr>
        <w:t>. São Paulo: Ricordi, 1961.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MULTIEDUCAÇÃO. 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Orff, Carl &amp; Keetman, Gunild. Orff-Schulwerk. Música para crianças. I Pentatônico. Versão Portuguesa de Maria de Lourdes Martins. Mainz: B. Schott´s Söhne, 1961.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____________. Orff-Schulwerk. Música para crianças. II . Bordões e acordes perfeitos. Versão Portuguesa de Maria de Lourdes Martins. Mainz: B. Schott´s Söhne, s.d.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Paynter, John &amp; Astor, Peter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. Sound and Silence.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Classroom projects in creative music. Cambridge: University Press, 1970.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Paynter, John.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Music in the secondary school curriculum</w:t>
      </w:r>
      <w:r>
        <w:rPr>
          <w:position w:val="0"/>
          <w:sz w:val="21"/>
          <w:sz w:val="21"/>
          <w:szCs w:val="21"/>
          <w:vertAlign w:val="baseline"/>
          <w:lang w:val="pt-PT"/>
        </w:rPr>
        <w:t>. Cambridge: University Press, 1983.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Hear and now</w:t>
      </w:r>
      <w:r>
        <w:rPr>
          <w:position w:val="0"/>
          <w:sz w:val="21"/>
          <w:sz w:val="21"/>
          <w:szCs w:val="21"/>
          <w:vertAlign w:val="baseline"/>
          <w:lang w:val="pt-PT"/>
        </w:rPr>
        <w:t>. London: Universal Edition, 1972. [versaão espanhola Oyr, aqui y ahora]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</w:rPr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Paynter, John &amp; Paynter, Elizabeth.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The dance and the drum</w:t>
      </w:r>
      <w:r>
        <w:rPr>
          <w:position w:val="0"/>
          <w:sz w:val="21"/>
          <w:sz w:val="21"/>
          <w:szCs w:val="21"/>
          <w:vertAlign w:val="baseline"/>
          <w:lang w:val="pt-PT"/>
        </w:rPr>
        <w:t>. London: Universal edition, 1974.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Paynter, John.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Sound and Structure</w:t>
      </w:r>
      <w:r>
        <w:rPr>
          <w:position w:val="0"/>
          <w:sz w:val="21"/>
          <w:sz w:val="21"/>
          <w:szCs w:val="21"/>
          <w:vertAlign w:val="baseline"/>
          <w:lang w:val="pt-PT"/>
        </w:rPr>
        <w:t>. Cambridge: University Press, 1992.</w:t>
      </w:r>
    </w:p>
    <w:p>
      <w:pPr>
        <w:pStyle w:val="Normal1"/>
        <w:ind w:left="567" w:right="283" w:hanging="283"/>
        <w:jc w:val="both"/>
        <w:rPr>
          <w:sz w:val="21"/>
          <w:szCs w:val="21"/>
        </w:rPr>
      </w:pPr>
      <w:r>
        <w:rPr>
          <w:sz w:val="21"/>
          <w:szCs w:val="21"/>
          <w:lang w:val="pt-PT"/>
        </w:rPr>
        <w:t>PAZ, Ermelinda. Pedagogia Musical Brasileira no Século XX: metodologias e tendências. 2a ed. Revista e aumentada. Brasília: Musimed, 2013.</w:t>
      </w:r>
    </w:p>
    <w:p>
      <w:pPr>
        <w:pStyle w:val="Normal1"/>
        <w:ind w:left="567" w:right="283" w:hanging="283"/>
        <w:jc w:val="both"/>
        <w:rPr>
          <w:sz w:val="21"/>
          <w:szCs w:val="21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PENNA, Maura. Para além do ensino no conservatório.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ANAIS 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4o Simpósio Paranaense de Ed Musical. Londrina, 1995, </w:t>
      </w:r>
    </w:p>
    <w:p>
      <w:pPr>
        <w:pStyle w:val="Normal1"/>
        <w:ind w:left="567" w:right="283" w:hanging="283"/>
        <w:jc w:val="both"/>
        <w:rPr/>
      </w:pPr>
      <w:r>
        <w:rPr>
          <w:lang w:val="pt-PT"/>
        </w:rPr>
        <w:t>PENNA, Maura . </w:t>
      </w:r>
      <w:r>
        <w:rPr>
          <w:shd w:fill="FFFFFF" w:val="clear"/>
          <w:lang w:val="pt-PT"/>
        </w:rPr>
        <w:t>Apre(e)ndendo</w:t>
      </w:r>
      <w:r>
        <w:rPr>
          <w:lang w:val="pt-PT"/>
        </w:rPr>
        <w:t> </w:t>
      </w:r>
      <w:r>
        <w:rPr>
          <w:shd w:fill="FFFFFF" w:val="clear"/>
          <w:lang w:val="pt-PT"/>
        </w:rPr>
        <w:t>músicas:</w:t>
      </w:r>
      <w:r>
        <w:rPr>
          <w:lang w:val="pt-PT"/>
        </w:rPr>
        <w:t> na vida e nas escolas. </w:t>
      </w:r>
      <w:r>
        <w:rPr>
          <w:b/>
          <w:bCs/>
          <w:lang w:val="pt-PT"/>
        </w:rPr>
        <w:t>Revista da ABEM</w:t>
      </w:r>
      <w:r>
        <w:rPr>
          <w:lang w:val="pt-PT"/>
        </w:rPr>
        <w:t>, Porto Alegre, v. 9, n.9, p. 71-79, 2003.</w:t>
      </w:r>
    </w:p>
    <w:p>
      <w:pPr>
        <w:pStyle w:val="Normal1"/>
        <w:ind w:left="567" w:right="283" w:hanging="283"/>
        <w:jc w:val="both"/>
        <w:rPr>
          <w:rStyle w:val="Nenhum"/>
          <w:sz w:val="21"/>
          <w:szCs w:val="21"/>
        </w:rPr>
      </w:pPr>
      <w:r>
        <w:rPr>
          <w:shd w:fill="FFFFFF" w:val="clear"/>
          <w:lang w:val="pt-PT"/>
        </w:rPr>
        <w:t>QUEIROZ, Luis Ricardo Silva. </w:t>
      </w:r>
      <w:hyperlink r:id="rId3">
        <w:r>
          <w:rPr>
            <w:rStyle w:val="LinkdaInternet"/>
            <w:shd w:fill="FFFFFF" w:val="clear"/>
            <w:lang w:val="pt-PT"/>
          </w:rPr>
          <w:t>Educação musical é cultura: nuances para interpretar e (re)pensar a práxis educativo-musical no século XXI. </w:t>
        </w:r>
        <w:r>
          <w:rPr>
            <w:rStyle w:val="LinkdaInternet"/>
            <w:b/>
            <w:bCs/>
            <w:shd w:fill="FFFFFF" w:val="clear"/>
            <w:lang w:val="pt-PT"/>
          </w:rPr>
          <w:t>DEBATES : Cadernos do Programa de Pós-Graduação em Música do Centro de Letras e Artes da UNIRIO</w:t>
        </w:r>
        <w:r>
          <w:rPr>
            <w:rStyle w:val="LinkdaInternet"/>
            <w:shd w:fill="FFFFFF" w:val="clear"/>
            <w:lang w:val="pt-PT"/>
          </w:rPr>
          <w:t>, Rio de Janeiro, n. 18, p. 163-191, 2017</w:t>
        </w:r>
      </w:hyperlink>
      <w:r>
        <w:rPr>
          <w:rStyle w:val="Hyperlink0"/>
          <w:lang w:val="pt-PT"/>
        </w:rPr>
        <w:t>.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Requião, Luciana.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>Saberes e competências no âmbito das escolas de música alternativas: a atividade docente do músico-professor na formação profissional do músico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Dissertação de mestrado, Instituto Villa-Lobos / CLA, UNIRIO, Rio de Janeiro, 2002.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RODRIGUES, Adriana. Sons e Expressões. A música na Educação Básica/ </w:t>
      </w:r>
      <w:r>
        <w:rPr>
          <w:rStyle w:val="Nenhum"/>
          <w:sz w:val="21"/>
          <w:szCs w:val="21"/>
          <w:lang w:val="pt-PT"/>
        </w:rPr>
        <w:t>Cecilia Conde, Marcos Nogueira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- Rio de Janeiro: Rovelle, 2013. (240p.)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Sá Pereira, Antonio.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>Psicotécnica do ensino elementar da música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Rio de Janeiro: José Olympio Editora, 1937.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Sá Pereira, Nayde. J. A. de.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>Iniciação Musical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São Paulo: Ricordi, 1978. [1</w:t>
      </w:r>
      <w:r>
        <w:rPr>
          <w:rStyle w:val="Nenhum"/>
          <w:sz w:val="21"/>
          <w:szCs w:val="21"/>
          <w:vertAlign w:val="superscript"/>
          <w:lang w:val="pt-PT"/>
        </w:rPr>
        <w:t>a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 edição: Rio de Janeiro: Jornal do Comércio, 1949].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SALGADO, José Alberto. A experiência da diversidade musical e estética: um parâmetro para a educação musical contemporânea. ANPPOM. ANAIS, v.1, 2001, p. 261-69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_________. A composição como prática regular em cursos de música. Debates, no. 04  - Cadernos do Programa de Pós-Graduação em Música. UNIRIO, CLÃ. 2001, p. 95-108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SANTOS, Regina Márcia S. Crítica, Prazer e Criação.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ANAIS 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4 Simpósio Paranaense Ed Musical. Londrina, 1995, p. 28-40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_________. Aprendizagem Musical Não Formal em Grupos Culturais Diversos. Kater (org) Cadernos de Estudo Ed Musical, 1991, p.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_________. A noção de mapa em Deleuze e Guattari. Cadernos dos Colóquios do PPGM, v. .., 1999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_________. Jaques-Dalcroze, avaliador da instituição escolar: em que se pode reconhecer dalcroze um séuclo depois? Debates, v 4, 2001, p. 07-48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_________. Cartografias na educação Infantil: quem joga? ANAIS ABEM 2000 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_________. A Natureza da Aprendizagem Musical e suas Implicações Curriculares: análise comparativa de quatro métodos. ABEM.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Revista Fundamentos da Ed Musical. 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v 2. Porto Alegre, 1994, p. 07-112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_________. A Formação Profissional para os múltiplos espaços de atuação em educação musical. ANAIS X ABEM, 2001, p. 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SCHAFER, R. Murray. Encontro com R. Murray Schafer (entrevista).In. Kater, Carlos (ed).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Cadernos de Estudo: Ed. Musical 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N° 4 / 5 . São Paulo : Atravez / EM UFMG, 1994, p.107 - 116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_______.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O Ouvido Pensante. 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São Paulo: UNESP, 1991. </w:t>
      </w:r>
    </w:p>
    <w:p>
      <w:pPr>
        <w:pStyle w:val="Normal1"/>
        <w:ind w:left="567" w:right="283" w:hanging="283"/>
        <w:jc w:val="both"/>
        <w:rPr>
          <w:rStyle w:val="Nenhum"/>
          <w:sz w:val="21"/>
          <w:szCs w:val="21"/>
        </w:rPr>
      </w:pPr>
      <w:r>
        <w:rPr>
          <w:rStyle w:val="Nenhum"/>
          <w:sz w:val="21"/>
          <w:szCs w:val="21"/>
          <w:lang w:val="pt-PT"/>
        </w:rPr>
        <w:t xml:space="preserve">___________. </w:t>
      </w:r>
      <w:r>
        <w:rPr>
          <w:rStyle w:val="Nenhum"/>
          <w:i/>
          <w:iCs/>
          <w:sz w:val="21"/>
          <w:szCs w:val="21"/>
          <w:lang w:val="pt-PT"/>
        </w:rPr>
        <w:t>Educação Sonora</w:t>
      </w:r>
      <w:r>
        <w:rPr>
          <w:rStyle w:val="Nenhum"/>
          <w:sz w:val="21"/>
          <w:szCs w:val="21"/>
          <w:lang w:val="pt-PT"/>
        </w:rPr>
        <w:t>. São Paulo, 1992. (mimeo) [editado em espanhol]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Self, george.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>Nuevos sonidos en clase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Buenos Aires, Ricordi, s.d. [1</w:t>
      </w:r>
      <w:r>
        <w:rPr>
          <w:rStyle w:val="Nenhum"/>
          <w:sz w:val="21"/>
          <w:szCs w:val="21"/>
          <w:vertAlign w:val="superscript"/>
          <w:lang w:val="pt-PT"/>
        </w:rPr>
        <w:t>a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 edição London: Universal Edition, 1967]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Sousa, Jusamara.</w:t>
      </w:r>
    </w:p>
    <w:p>
      <w:pPr>
        <w:pStyle w:val="Normal1"/>
        <w:ind w:left="567" w:right="283" w:hanging="283"/>
        <w:jc w:val="both"/>
        <w:rPr>
          <w:rStyle w:val="Nenhum"/>
          <w:rFonts w:ascii="Times Roman" w:hAnsi="Times Roman" w:eastAsia="Times Roman" w:cs="Times Roman"/>
          <w:sz w:val="24"/>
          <w:szCs w:val="24"/>
        </w:rPr>
      </w:pPr>
      <w:r>
        <w:rPr>
          <w:lang w:val="pt-PT"/>
        </w:rPr>
        <w:t xml:space="preserve">SOBREIRA, Silvia. A Educação musical e principais legislações: de Villa-Lobos aos dias atuais. </w:t>
      </w:r>
      <w:r>
        <w:rPr>
          <w:rStyle w:val="Nenhum"/>
          <w:rFonts w:ascii="Times Roman" w:hAnsi="Times Roman"/>
          <w:b/>
          <w:bCs/>
          <w:lang w:val="pt-PT"/>
        </w:rPr>
        <w:t>Interlúdio</w:t>
      </w:r>
      <w:r>
        <w:rPr>
          <w:lang w:val="pt-PT"/>
        </w:rPr>
        <w:t xml:space="preserve">-Revista do Departamento de Educação Musical do Colégio Pedro Segundo, v. 5 n. 17, p. 10-28, 2017. Rio de Janeiro-RJ. </w:t>
      </w:r>
      <w:r>
        <w:rPr>
          <w:rStyle w:val="Nenhum"/>
          <w:shd w:fill="FAFAF2" w:val="clear"/>
          <w:lang w:val="pt-PT"/>
        </w:rPr>
        <w:t xml:space="preserve">ISSN 2594-407X. </w:t>
      </w:r>
      <w:r>
        <w:rPr>
          <w:lang w:val="pt-PT"/>
        </w:rPr>
        <w:t xml:space="preserve">Disponível em&lt; </w:t>
      </w:r>
      <w:r>
        <w:rPr>
          <w:rStyle w:val="Nenhum"/>
          <w:outline w:val="false"/>
          <w:color w:val="0563C0"/>
          <w:lang w:val="pt-PT"/>
          <w14:textFill>
            <w14:solidFill>
              <w14:srgbClr w14:val="0563C1"/>
            </w14:solidFill>
          </w14:textFill>
        </w:rPr>
        <w:t xml:space="preserve">http://cp2.g12.br/ojs/index.php/interludio/issue/view/102 </w:t>
      </w:r>
      <w:r>
        <w:rPr>
          <w:lang w:val="pt-PT"/>
        </w:rPr>
        <w:t xml:space="preserve">&gt; Acesso em 17 ago 2020. </w:t>
      </w:r>
    </w:p>
    <w:p>
      <w:pPr>
        <w:pStyle w:val="Normal1"/>
        <w:ind w:left="567" w:right="283" w:hanging="283"/>
        <w:jc w:val="both"/>
        <w:rPr>
          <w:rStyle w:val="Nenhum"/>
          <w:sz w:val="21"/>
          <w:szCs w:val="21"/>
        </w:rPr>
      </w:pPr>
      <w:r>
        <w:rPr>
          <w:rStyle w:val="Nenhum"/>
          <w:sz w:val="21"/>
          <w:szCs w:val="21"/>
          <w:lang w:val="pt-PT"/>
        </w:rPr>
        <w:t xml:space="preserve">Szõnyi, Erzsébet. </w:t>
      </w:r>
      <w:r>
        <w:rPr>
          <w:rStyle w:val="Nenhum"/>
          <w:i/>
          <w:iCs/>
          <w:sz w:val="21"/>
          <w:szCs w:val="21"/>
          <w:lang w:val="pt-PT"/>
        </w:rPr>
        <w:t>La educación muiscal en Hungría a través del método Kodály</w:t>
      </w:r>
      <w:r>
        <w:rPr>
          <w:rStyle w:val="Nenhum"/>
          <w:sz w:val="21"/>
          <w:szCs w:val="21"/>
          <w:lang w:val="pt-PT"/>
        </w:rPr>
        <w:t>. Budapest: Imprenta Franklin, 1976. [edição espanhola, Argentina, Editorial Corvina, 1976]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SUZUKI, Schinichi.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>Educação é amor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Tradução de Waltraud Suzuki. Santa Maria, Imprensa Universitária Sta Maria UFSM, 1983.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SWANWICK, Keith. Permanecendo Fiel à Música na Ed Musical. Kater (org)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Cadernos de Estudo ed Musical, 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1993, p.19-32.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_________.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>Musical Knowledge: intuition, Analysis and Music Education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London and New York. Routledge, 1994.</w:t>
      </w:r>
    </w:p>
    <w:p>
      <w:pPr>
        <w:pStyle w:val="Normal1"/>
        <w:ind w:left="567" w:right="283" w:hanging="283"/>
        <w:jc w:val="both"/>
        <w:rPr>
          <w:rStyle w:val="Nenhum"/>
          <w:sz w:val="21"/>
          <w:szCs w:val="21"/>
        </w:rPr>
      </w:pPr>
      <w:r>
        <w:rPr>
          <w:rStyle w:val="Nenhum"/>
          <w:sz w:val="21"/>
          <w:szCs w:val="21"/>
          <w:lang w:val="pt-PT"/>
        </w:rPr>
        <w:t xml:space="preserve">_________. </w:t>
      </w:r>
      <w:r>
        <w:rPr>
          <w:rStyle w:val="Nenhum"/>
          <w:i/>
          <w:iCs/>
          <w:sz w:val="21"/>
          <w:szCs w:val="21"/>
          <w:lang w:val="pt-PT"/>
        </w:rPr>
        <w:t>Teaching Music Musically</w:t>
      </w:r>
      <w:r>
        <w:rPr>
          <w:rStyle w:val="Nenhum"/>
          <w:sz w:val="21"/>
          <w:szCs w:val="21"/>
          <w:lang w:val="pt-PT"/>
        </w:rPr>
        <w:t>. London and New York. Routledge, 1999.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Villa-Lobos, Heitor.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>O ensino popular da música no Brasil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Rio de Janeiro: Secretaria de Educação e Cultura, 1937.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___________.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>Guia Prático. Estudo Folclórico Musical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São Paulo, Irmãos Vitale, 1941.</w:t>
      </w:r>
    </w:p>
    <w:p>
      <w:pPr>
        <w:pStyle w:val="Normal1"/>
        <w:ind w:left="355" w:right="0" w:hanging="355"/>
        <w:jc w:val="both"/>
        <w:rPr>
          <w:rStyle w:val="Nenhum"/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r>
    </w:p>
    <w:p>
      <w:pPr>
        <w:pStyle w:val="Normal1"/>
        <w:rPr>
          <w:rStyle w:val="Nenhum"/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r>
    </w:p>
    <w:tbl>
      <w:tblPr>
        <w:tblW w:w="10701" w:type="dxa"/>
        <w:jc w:val="left"/>
        <w:tblInd w:w="25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0701"/>
      </w:tblGrid>
      <w:tr>
        <w:trPr>
          <w:trHeight w:val="467" w:hRule="atLeast"/>
        </w:trPr>
        <w:tc>
          <w:tcPr>
            <w:tcW w:w="10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/>
            </w:pPr>
            <w:r>
              <w:rPr>
                <w:rStyle w:val="Nenhum"/>
                <w:b/>
                <w:bCs/>
                <w:sz w:val="24"/>
                <w:szCs w:val="24"/>
                <w:shd w:fill="auto" w:val="clear"/>
                <w:lang w:val="pt-PT"/>
              </w:rPr>
              <w:t xml:space="preserve">ATUALIZADO EM: </w:t>
            </w:r>
            <w:r>
              <w:rPr>
                <w:rStyle w:val="Nenhum"/>
                <w:sz w:val="24"/>
                <w:szCs w:val="24"/>
                <w:shd w:fill="auto" w:val="clear"/>
                <w:lang w:val="pt-PT"/>
              </w:rPr>
              <w:t>28/08/2023</w:t>
            </w:r>
          </w:p>
        </w:tc>
      </w:tr>
      <w:tr>
        <w:trPr>
          <w:trHeight w:val="469" w:hRule="atLeast"/>
        </w:trPr>
        <w:tc>
          <w:tcPr>
            <w:tcW w:w="10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/>
            </w:pPr>
            <w:r>
              <w:rPr>
                <w:rStyle w:val="Nenhum"/>
                <w:b/>
                <w:bCs/>
                <w:sz w:val="24"/>
                <w:szCs w:val="24"/>
                <w:shd w:fill="auto" w:val="clear"/>
                <w:lang w:val="pt-PT"/>
              </w:rPr>
              <w:t>PROFESSOR RESPONSÁVEL:</w:t>
            </w:r>
            <w:r>
              <w:rPr>
                <w:rStyle w:val="Nenhum"/>
                <w:sz w:val="24"/>
                <w:szCs w:val="24"/>
                <w:shd w:fill="auto" w:val="clear"/>
                <w:lang w:val="pt-PT"/>
              </w:rPr>
              <w:t xml:space="preserve"> Lilia do Amaral Manfrinato Justi</w:t>
            </w:r>
          </w:p>
        </w:tc>
      </w:tr>
    </w:tbl>
    <w:p>
      <w:pPr>
        <w:pStyle w:val="Normal1"/>
        <w:widowControl w:val="false"/>
        <w:ind w:left="142" w:right="0" w:hanging="142"/>
        <w:rPr>
          <w:rStyle w:val="Nenhum"/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r>
    </w:p>
    <w:p>
      <w:pPr>
        <w:pStyle w:val="Normal1"/>
        <w:rPr>
          <w:rStyle w:val="Nenhum"/>
          <w:position w:val="0"/>
          <w:sz w:val="20"/>
          <w:vertAlign w:val="baseline"/>
        </w:rPr>
      </w:pPr>
      <w:r>
        <w:rPr>
          <w:position w:val="0"/>
          <w:sz w:val="20"/>
          <w:vertAlign w:val="baseline"/>
        </w:rPr>
      </w:r>
    </w:p>
    <w:p>
      <w:pPr>
        <w:pStyle w:val="Normal1"/>
        <w:rPr>
          <w:rStyle w:val="Nenhum"/>
          <w:position w:val="0"/>
          <w:sz w:val="20"/>
          <w:vertAlign w:val="baseline"/>
        </w:rPr>
      </w:pPr>
      <w:r>
        <w:rPr>
          <w:position w:val="0"/>
          <w:sz w:val="20"/>
          <w:vertAlign w:val="baseline"/>
        </w:rPr>
      </w:r>
    </w:p>
    <w:p>
      <w:pPr>
        <w:pStyle w:val="Normal1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567" w:right="567" w:gutter="0" w:header="0" w:top="567" w:footer="0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roman"/>
    <w:pitch w:val="variable"/>
  </w:font>
  <w:font w:name="Arial">
    <w:charset w:val="00"/>
    <w:family w:val="roman"/>
    <w:pitch w:val="variable"/>
  </w:font>
  <w:font w:name="Times Roman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eRodap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eRodap"/>
      <w:bidi w:val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LinkdaInternet">
    <w:name w:val="Link da Internet"/>
    <w:rPr>
      <w:u w:val="single" w:color="FFFFFF"/>
    </w:rPr>
  </w:style>
  <w:style w:type="character" w:styleId="Nenhum">
    <w:name w:val="Nenhum"/>
    <w:qFormat/>
    <w:rPr/>
  </w:style>
  <w:style w:type="character" w:styleId="Hyperlink0">
    <w:name w:val="Hyperlink.0"/>
    <w:basedOn w:val="Nenhum"/>
    <w:qFormat/>
    <w:rPr>
      <w:shd w:fill="FFFFFF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pt-BR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  <w:outlineLvl w:val="0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0"/>
      <w:sz w:val="20"/>
      <w:szCs w:val="20"/>
      <w:u w:val="none" w:color="000000"/>
      <w:shd w:fill="auto" w:val="clear"/>
      <w:vertAlign w:val="baseline"/>
      <w:lang w:val="pt-PT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drive.google.com/file/d/1ewq9TuGDXBKYMBmFaQHne8-ubx_Dtz_q/view?usp=sharing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LibreOffice/7.2.7.2$Windows_X86_64 LibreOffice_project/8d71d29d553c0f7dcbfa38fbfda25ee34cce99a2</Application>
  <AppVersion>15.0000</AppVersion>
  <Pages>5</Pages>
  <Words>2307</Words>
  <Characters>13574</Characters>
  <CharactersWithSpaces>15808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2023-08-30T22:24:50Z</dcterms:modified>
  <cp:revision>1</cp:revision>
  <dc:subject/>
  <dc:title/>
</cp:coreProperties>
</file>