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Arial"/>
          <w:szCs w:val="20"/>
          <w:lang w:val="x-none" w:eastAsia="en-US"/>
        </w:rPr>
      </w:pPr>
      <w:r>
        <w:rPr>
          <w:rFonts w:cs="Arial"/>
          <w:szCs w:val="20"/>
          <w:lang w:val="x-none" w:eastAsia="en-US"/>
        </w:rPr>
      </w:r>
    </w:p>
    <w:p>
      <w:pPr>
        <w:pStyle w:val="Normal"/>
        <w:rPr>
          <w:rFonts w:cs="Arial"/>
          <w:szCs w:val="20"/>
          <w:lang w:eastAsia="en-US"/>
        </w:rPr>
      </w:pPr>
      <w:r>
        <w:rPr>
          <w:rFonts w:cs="Arial"/>
          <w:szCs w:val="20"/>
          <w:lang w:eastAsia="en-US"/>
        </w:rPr>
      </w:r>
    </w:p>
    <w:p>
      <w:pPr>
        <w:pStyle w:val="Normal"/>
        <w:spacing w:lineRule="auto" w:line="276" w:before="0" w:after="120"/>
        <w:ind w:right="-15" w:hanging="0"/>
        <w:jc w:val="center"/>
        <w:rPr>
          <w:rFonts w:cs="Arial"/>
          <w:b/>
          <w:b/>
          <w:bCs/>
          <w:color w:val="000000"/>
          <w:szCs w:val="20"/>
        </w:rPr>
      </w:pPr>
      <w:r>
        <w:rPr>
          <w:rFonts w:cs="Arial"/>
          <w:b/>
          <w:bCs/>
          <w:color w:val="000000"/>
          <w:szCs w:val="20"/>
        </w:rPr>
        <w:t>MODELO DE TERMO DE REFERÊNCIA</w:t>
      </w:r>
    </w:p>
    <w:p>
      <w:pPr>
        <w:pStyle w:val="Normal"/>
        <w:spacing w:lineRule="auto" w:line="276" w:before="0" w:after="120"/>
        <w:ind w:right="-15" w:hanging="0"/>
        <w:jc w:val="center"/>
        <w:rPr>
          <w:rFonts w:cs="Arial"/>
          <w:b/>
          <w:b/>
          <w:bCs/>
          <w:iCs/>
          <w:szCs w:val="20"/>
        </w:rPr>
      </w:pPr>
      <w:r>
        <w:rPr>
          <w:rFonts w:cs="Arial"/>
          <w:b/>
          <w:bCs/>
          <w:iCs/>
          <w:color w:val="000000"/>
          <w:szCs w:val="20"/>
        </w:rPr>
        <w:t xml:space="preserve"> </w:t>
      </w:r>
      <w:r>
        <w:rPr>
          <w:rFonts w:cs="Arial"/>
          <w:b/>
          <w:bCs/>
          <w:iCs/>
          <w:color w:val="000000"/>
          <w:szCs w:val="20"/>
        </w:rPr>
        <w:t>(</w:t>
      </w:r>
      <w:r>
        <w:rPr>
          <w:rFonts w:cs="Arial"/>
          <w:b/>
          <w:bCs/>
          <w:iCs/>
          <w:szCs w:val="20"/>
        </w:rPr>
        <w:t>PRESTAÇÃO DE SERVIÇO NÃO CONTINUADO)</w:t>
      </w:r>
    </w:p>
    <w:p>
      <w:pPr>
        <w:pStyle w:val="Normal"/>
        <w:spacing w:lineRule="auto" w:line="276" w:before="0" w:after="120"/>
        <w:ind w:right="-15" w:hanging="0"/>
        <w:jc w:val="center"/>
        <w:rPr>
          <w:rFonts w:cs="Arial"/>
          <w:b/>
          <w:b/>
          <w:bCs/>
          <w:iCs/>
          <w:szCs w:val="20"/>
        </w:rPr>
      </w:pPr>
      <w:commentRangeStart w:id="0"/>
      <w:r>
        <w:rPr>
          <w:rFonts w:cs="Arial"/>
          <w:b/>
          <w:bCs/>
          <w:iCs/>
          <w:szCs w:val="20"/>
          <w:highlight w:val="cyan"/>
        </w:rPr>
        <w:t>MODELO ATUALIZADO EM 05/03/2020</w:t>
      </w:r>
      <w:permStart w:id="1307587996" w:edGrp="everyone"/>
      <w:commentRangeEnd w:id="0"/>
      <w:r>
        <w:commentReference w:id="0"/>
      </w:r>
      <w:r>
        <w:rPr>
          <w:rFonts w:cs="Arial"/>
          <w:b/>
          <w:bCs/>
          <w:iCs/>
          <w:szCs w:val="20"/>
          <w:highlight w:val="cyan"/>
        </w:rPr>
      </w:r>
      <w:permEnd w:id="1307587996"/>
    </w:p>
    <w:p>
      <w:pPr>
        <w:pStyle w:val="Normal"/>
        <w:spacing w:lineRule="auto" w:line="276" w:before="0" w:after="120"/>
        <w:ind w:right="-15" w:hanging="0"/>
        <w:jc w:val="center"/>
        <w:rPr>
          <w:rFonts w:cs="Arial"/>
          <w:bCs/>
          <w:i/>
          <w:i/>
          <w:color w:val="FF0000"/>
          <w:szCs w:val="20"/>
        </w:rPr>
      </w:pPr>
      <w:r>
        <w:rPr>
          <w:rFonts w:cs="Arial"/>
          <w:bCs/>
          <w:i/>
          <w:color w:val="FF0000"/>
          <w:szCs w:val="20"/>
        </w:rPr>
      </w:r>
    </w:p>
    <w:p>
      <w:pPr>
        <w:pStyle w:val="Normal"/>
        <w:jc w:val="center"/>
        <w:rPr>
          <w:rFonts w:cs="Arial"/>
          <w:b/>
          <w:b/>
          <w:bCs/>
          <w:szCs w:val="20"/>
        </w:rPr>
      </w:pPr>
      <w:r>
        <w:rPr>
          <w:rFonts w:cs="Arial"/>
          <w:b/>
          <w:bCs/>
          <w:szCs w:val="20"/>
        </w:rPr>
        <w:t>UNIVERSIDADE FEDERAL DO ESTADO DO RIO DE JANEIRO - UNIRIO</w:t>
      </w:r>
    </w:p>
    <w:p>
      <w:pPr>
        <w:pStyle w:val="Normal"/>
        <w:jc w:val="center"/>
        <w:rPr>
          <w:rFonts w:cs="Arial"/>
          <w:bCs/>
          <w:color w:val="000000"/>
          <w:szCs w:val="20"/>
        </w:rPr>
      </w:pPr>
      <w:r>
        <w:rPr>
          <w:rFonts w:cs="Arial"/>
          <w:bCs/>
          <w:color w:val="000000"/>
          <w:szCs w:val="20"/>
        </w:rPr>
        <w:t xml:space="preserve">PREGÃO Nº </w:t>
      </w:r>
      <w:permStart w:id="1728712613" w:edGrp="everyone"/>
      <w:r>
        <w:rPr>
          <w:rFonts w:cs="Arial"/>
          <w:bCs/>
          <w:color w:val="000000"/>
          <w:szCs w:val="20"/>
        </w:rPr>
        <w:t>......</w:t>
      </w:r>
      <w:r>
        <w:rPr>
          <w:rFonts w:cs="Arial"/>
          <w:bCs/>
          <w:color w:val="000000"/>
          <w:szCs w:val="20"/>
        </w:rPr>
        <w:t>/20</w:t>
      </w:r>
      <w:permEnd w:id="1728712613"/>
      <w:permStart w:id="1694248988" w:edGrp="everyone"/>
      <w:r>
        <w:rPr>
          <w:rFonts w:cs="Arial"/>
          <w:bCs/>
          <w:color w:val="000000"/>
          <w:szCs w:val="20"/>
        </w:rPr>
        <w:t>...</w:t>
      </w:r>
      <w:permEnd w:id="1694248988"/>
    </w:p>
    <w:p>
      <w:pPr>
        <w:pStyle w:val="Normal"/>
        <w:jc w:val="center"/>
        <w:rPr>
          <w:rFonts w:cs="Arial"/>
          <w:bCs/>
          <w:color w:val="000000"/>
          <w:szCs w:val="20"/>
        </w:rPr>
      </w:pPr>
      <w:r>
        <w:rPr>
          <w:rFonts w:cs="Arial"/>
          <w:bCs/>
          <w:color w:val="000000"/>
          <w:szCs w:val="20"/>
        </w:rPr>
        <w:t>(Processo Administrativo n.° 23102.00</w:t>
      </w:r>
      <w:permStart w:id="182194957" w:edGrp="everyone"/>
      <w:r>
        <w:rPr>
          <w:rFonts w:cs="Arial"/>
          <w:bCs/>
          <w:color w:val="000000"/>
          <w:szCs w:val="20"/>
        </w:rPr>
        <w:t>xxxx</w:t>
      </w:r>
      <w:r>
        <w:rPr>
          <w:rFonts w:cs="Arial"/>
          <w:bCs/>
          <w:color w:val="000000"/>
          <w:szCs w:val="20"/>
        </w:rPr>
        <w:t>/20</w:t>
      </w:r>
      <w:permEnd w:id="182194957"/>
      <w:permStart w:id="776021068" w:edGrp="everyone"/>
      <w:r>
        <w:rPr>
          <w:rFonts w:cs="Arial"/>
          <w:bCs/>
          <w:color w:val="000000"/>
          <w:szCs w:val="20"/>
        </w:rPr>
        <w:t>xx</w:t>
      </w:r>
      <w:r>
        <w:rPr>
          <w:rFonts w:cs="Arial"/>
          <w:bCs/>
          <w:color w:val="000000"/>
          <w:szCs w:val="20"/>
        </w:rPr>
        <w:t>-</w:t>
      </w:r>
      <w:permEnd w:id="776021068"/>
      <w:permStart w:id="1955267029" w:edGrp="everyone"/>
      <w:r>
        <w:rPr>
          <w:rFonts w:cs="Arial"/>
          <w:bCs/>
          <w:color w:val="000000"/>
          <w:szCs w:val="20"/>
        </w:rPr>
        <w:t>xx</w:t>
      </w:r>
      <w:r>
        <w:rPr>
          <w:rFonts w:cs="Arial"/>
          <w:bCs/>
          <w:color w:val="000000"/>
          <w:szCs w:val="20"/>
        </w:rPr>
        <w:t>)</w:t>
      </w:r>
      <w:permEnd w:id="1955267029"/>
    </w:p>
    <w:p>
      <w:pPr>
        <w:pStyle w:val="Nivel1"/>
        <w:numPr>
          <w:ilvl w:val="0"/>
          <w:numId w:val="1"/>
        </w:numPr>
        <w:rPr>
          <w:rFonts w:cs="Arial"/>
        </w:rPr>
      </w:pPr>
      <w:r>
        <w:rPr>
          <w:rFonts w:cs="Arial"/>
        </w:rPr>
        <w:t>DO OBJETO</w:t>
      </w:r>
    </w:p>
    <w:p>
      <w:pPr>
        <w:pStyle w:val="Normal"/>
        <w:numPr>
          <w:ilvl w:val="1"/>
          <w:numId w:val="1"/>
        </w:numPr>
        <w:spacing w:lineRule="auto" w:line="276" w:before="120" w:after="120"/>
        <w:ind w:left="425" w:hanging="0"/>
        <w:jc w:val="both"/>
        <w:rPr>
          <w:rFonts w:cs="Arial"/>
          <w:szCs w:val="20"/>
        </w:rPr>
      </w:pPr>
      <w:r>
        <w:rPr>
          <w:rFonts w:cs="Arial"/>
          <w:szCs w:val="20"/>
        </w:rPr>
        <w:t>Contratação de.</w:t>
      </w:r>
      <w:permStart w:id="1388848148" w:edGrp="everyone"/>
      <w:r>
        <w:rPr>
          <w:rFonts w:cs="Arial"/>
          <w:szCs w:val="20"/>
        </w:rPr>
        <w:t>.........................................................</w:t>
      </w:r>
      <w:r>
        <w:rPr>
          <w:rFonts w:cs="Arial"/>
          <w:szCs w:val="20"/>
        </w:rPr>
        <w:t>., conforme condições, quantidades e exigências estabelecidas neste instrumento:</w:t>
      </w:r>
      <w:permEnd w:id="1388848148"/>
    </w:p>
    <w:p>
      <w:pPr>
        <w:pStyle w:val="Nivel1"/>
        <w:numPr>
          <w:ilvl w:val="0"/>
          <w:numId w:val="0"/>
        </w:numPr>
        <w:rPr>
          <w:color w:val="FF0000"/>
          <w:highlight w:val="yellow"/>
        </w:rPr>
      </w:pPr>
      <w:r>
        <w:rPr>
          <w:color w:val="FF0000"/>
          <w:highlight w:val="yellow"/>
        </w:rPr>
      </w:r>
    </w:p>
    <w:tbl>
      <w:tblPr>
        <w:tblW w:w="9101" w:type="dxa"/>
        <w:jc w:val="left"/>
        <w:tblInd w:w="108" w:type="dxa"/>
        <w:tblCellMar>
          <w:top w:w="0" w:type="dxa"/>
          <w:left w:w="108" w:type="dxa"/>
          <w:bottom w:w="0" w:type="dxa"/>
          <w:right w:w="108" w:type="dxa"/>
        </w:tblCellMar>
        <w:tblLook w:firstRow="1" w:noVBand="1" w:lastRow="0" w:firstColumn="1" w:lastColumn="0" w:noHBand="0" w:val="04a0"/>
      </w:tblPr>
      <w:tblGrid>
        <w:gridCol w:w="850"/>
        <w:gridCol w:w="3714"/>
        <w:gridCol w:w="1133"/>
        <w:gridCol w:w="2126"/>
        <w:gridCol w:w="1278"/>
      </w:tblGrid>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commentRangeStart w:id="1"/>
            <w:r>
              <w:rPr>
                <w:rFonts w:cs="Arial"/>
                <w:bCs/>
                <w:szCs w:val="20"/>
              </w:rPr>
              <w:t>ITEM</w:t>
            </w:r>
          </w:p>
          <w:p>
            <w:pPr>
              <w:pStyle w:val="Normal"/>
              <w:widowControl w:val="false"/>
              <w:suppressAutoHyphens w:val="true"/>
              <w:jc w:val="center"/>
              <w:rPr>
                <w:rFonts w:cs="Arial"/>
                <w:szCs w:val="20"/>
              </w:rPr>
            </w:pPr>
            <w:r>
              <w:rPr>
                <w:rFonts w:cs="Arial"/>
                <w:szCs w:val="20"/>
              </w:rPr>
            </w:r>
          </w:p>
        </w:tc>
        <w:tc>
          <w:tcPr>
            <w:tcW w:w="371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Arial"/>
                <w:bCs/>
                <w:szCs w:val="20"/>
              </w:rPr>
            </w:pPr>
            <w:commentRangeStart w:id="2"/>
            <w:r>
              <w:rPr>
                <w:rFonts w:cs="Arial"/>
                <w:bCs/>
                <w:szCs w:val="20"/>
              </w:rPr>
              <w:t>DESCRIÇÃO/</w:t>
            </w:r>
          </w:p>
          <w:p>
            <w:pPr>
              <w:pStyle w:val="Normal"/>
              <w:widowControl w:val="false"/>
              <w:suppressAutoHyphens w:val="true"/>
              <w:jc w:val="center"/>
              <w:rPr>
                <w:rFonts w:cs="Arial"/>
                <w:szCs w:val="20"/>
              </w:rPr>
            </w:pPr>
            <w:r>
              <w:rPr>
                <w:rFonts w:cs="Arial"/>
                <w:bCs/>
                <w:szCs w:val="20"/>
              </w:rPr>
              <w:t>ESPECIFICAÇÃO</w:t>
            </w:r>
            <w:commentRangeEnd w:id="2"/>
            <w:r>
              <w:commentReference w:id="2"/>
            </w:r>
            <w:r>
              <w:rPr>
                <w:rFonts w:cs="Arial"/>
                <w:bCs/>
                <w:szCs w:val="20"/>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Unidade de Medida</w:t>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Quantidade</w:t>
            </w:r>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 xml:space="preserve">Valor Unitário Máximo </w:t>
            </w:r>
            <w:r>
              <w:rPr>
                <w:rFonts w:cs="Arial"/>
                <w:b/>
                <w:bCs/>
                <w:szCs w:val="20"/>
              </w:rPr>
              <w:t>OU</w:t>
            </w:r>
            <w:r>
              <w:rPr>
                <w:rFonts w:cs="Arial"/>
                <w:bCs/>
                <w:szCs w:val="20"/>
              </w:rPr>
              <w:t xml:space="preserve"> Valor de Referência</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1</w:t>
            </w:r>
          </w:p>
        </w:tc>
        <w:tc>
          <w:tcPr>
            <w:tcW w:w="37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461723763" w:edGrp="everyone"/>
            <w:r>
              <w:rPr>
                <w:rFonts w:cs="Arial"/>
                <w:szCs w:val="20"/>
              </w:rPr>
              <w:t xml:space="preserve">   </w:t>
            </w:r>
            <w:permEnd w:id="1461723763"/>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259481949" w:edGrp="everyone"/>
            <w:r>
              <w:rPr>
                <w:rFonts w:cs="Arial"/>
                <w:szCs w:val="20"/>
              </w:rPr>
              <w:t xml:space="preserve">   </w:t>
            </w:r>
            <w:permEnd w:id="1259481949"/>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724127339" w:edGrp="everyone"/>
            <w:r>
              <w:rPr>
                <w:rFonts w:cs="Arial"/>
                <w:szCs w:val="20"/>
              </w:rPr>
              <w:t xml:space="preserve">   </w:t>
            </w:r>
            <w:permEnd w:id="724127339"/>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657218426" w:edGrp="everyone"/>
            <w:r>
              <w:rPr>
                <w:rFonts w:cs="Arial"/>
                <w:szCs w:val="20"/>
              </w:rPr>
              <w:t xml:space="preserve">   </w:t>
            </w:r>
            <w:permEnd w:id="1657218426"/>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2</w:t>
            </w:r>
          </w:p>
        </w:tc>
        <w:tc>
          <w:tcPr>
            <w:tcW w:w="37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212513733" w:edGrp="everyone"/>
            <w:r>
              <w:rPr>
                <w:rFonts w:cs="Arial"/>
                <w:szCs w:val="20"/>
              </w:rPr>
              <w:t xml:space="preserve">   </w:t>
            </w:r>
            <w:permEnd w:id="1212513733"/>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218002936" w:edGrp="everyone"/>
            <w:r>
              <w:rPr>
                <w:rFonts w:cs="Arial"/>
                <w:szCs w:val="20"/>
              </w:rPr>
              <w:t xml:space="preserve">   </w:t>
            </w:r>
            <w:permEnd w:id="1218002936"/>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879367330" w:edGrp="everyone"/>
            <w:r>
              <w:rPr>
                <w:rFonts w:cs="Arial"/>
                <w:szCs w:val="20"/>
              </w:rPr>
              <w:t xml:space="preserve">   </w:t>
            </w:r>
            <w:permEnd w:id="879367330"/>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498882181" w:edGrp="everyone"/>
            <w:r>
              <w:rPr>
                <w:rFonts w:cs="Arial"/>
                <w:szCs w:val="20"/>
              </w:rPr>
              <w:t xml:space="preserve">   </w:t>
            </w:r>
            <w:permEnd w:id="1498882181"/>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3</w:t>
            </w:r>
          </w:p>
        </w:tc>
        <w:tc>
          <w:tcPr>
            <w:tcW w:w="37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733567609" w:edGrp="everyone"/>
            <w:r>
              <w:rPr>
                <w:rFonts w:cs="Arial"/>
                <w:szCs w:val="20"/>
              </w:rPr>
              <w:t xml:space="preserve">   </w:t>
            </w:r>
            <w:permEnd w:id="733567609"/>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109217093" w:edGrp="everyone"/>
            <w:r>
              <w:rPr>
                <w:rFonts w:cs="Arial"/>
                <w:szCs w:val="20"/>
              </w:rPr>
              <w:t xml:space="preserve">   </w:t>
            </w:r>
            <w:permEnd w:id="1109217093"/>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069969126" w:edGrp="everyone"/>
            <w:r>
              <w:rPr>
                <w:rFonts w:cs="Arial"/>
                <w:szCs w:val="20"/>
              </w:rPr>
              <w:t xml:space="preserve">   </w:t>
            </w:r>
            <w:permEnd w:id="1069969126"/>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631118890" w:edGrp="everyone"/>
            <w:r>
              <w:rPr>
                <w:rFonts w:cs="Arial"/>
                <w:szCs w:val="20"/>
              </w:rPr>
              <w:t xml:space="preserve">   </w:t>
            </w:r>
            <w:permEnd w:id="631118890"/>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permStart w:id="1674723928" w:edGrp="everyone"/>
            <w:r>
              <w:rPr>
                <w:rFonts w:cs="Arial"/>
                <w:szCs w:val="20"/>
              </w:rPr>
              <w:t>...</w:t>
            </w:r>
            <w:permEnd w:id="1674723928"/>
          </w:p>
        </w:tc>
        <w:tc>
          <w:tcPr>
            <w:tcW w:w="37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296529070" w:edGrp="everyone"/>
            <w:r>
              <w:rPr>
                <w:rFonts w:cs="Arial"/>
                <w:szCs w:val="20"/>
              </w:rPr>
              <w:t xml:space="preserve">   </w:t>
            </w:r>
            <w:permEnd w:id="1296529070"/>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564034231" w:edGrp="everyone"/>
            <w:r>
              <w:rPr>
                <w:rFonts w:cs="Arial"/>
                <w:szCs w:val="20"/>
              </w:rPr>
              <w:t xml:space="preserve">   </w:t>
            </w:r>
            <w:permEnd w:id="1564034231"/>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185575464" w:edGrp="everyone"/>
            <w:r>
              <w:rPr>
                <w:rFonts w:cs="Arial"/>
                <w:szCs w:val="20"/>
              </w:rPr>
              <w:t xml:space="preserve">   </w:t>
            </w:r>
            <w:permEnd w:id="1185575464"/>
          </w:p>
        </w:tc>
        <w:tc>
          <w:tcPr>
            <w:tcW w:w="12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permStart w:id="1241729500" w:edGrp="everyone"/>
            <w:r>
              <w:rPr>
                <w:rFonts w:cs="Arial"/>
                <w:szCs w:val="20"/>
              </w:rPr>
              <w:t xml:space="preserve">   </w:t>
            </w:r>
            <w:r>
              <w:rPr/>
              <w:commentReference w:id="3"/>
            </w:r>
            <w:permEnd w:id="1241729500"/>
            <w:commentRangeEnd w:id="1"/>
            <w:r>
              <w:commentReference w:id="1"/>
            </w:r>
            <w:r>
              <w:rPr/>
            </w:r>
          </w:p>
        </w:tc>
      </w:tr>
    </w:tbl>
    <w:p>
      <w:pPr>
        <w:pStyle w:val="Normal"/>
        <w:spacing w:lineRule="auto" w:line="276" w:before="0" w:after="120"/>
        <w:jc w:val="both"/>
        <w:rPr>
          <w:rFonts w:cs="Arial"/>
          <w:color w:val="000000"/>
          <w:szCs w:val="20"/>
        </w:rPr>
      </w:pPr>
      <w:r>
        <w:rPr>
          <w:rFonts w:cs="Arial"/>
          <w:color w:val="000000"/>
          <w:szCs w:val="20"/>
        </w:rPr>
      </w:r>
    </w:p>
    <w:p>
      <w:pPr>
        <w:pStyle w:val="Normal"/>
        <w:spacing w:lineRule="auto" w:line="276" w:before="0" w:after="120"/>
        <w:jc w:val="both"/>
        <w:rPr>
          <w:rFonts w:cs="Arial"/>
          <w:color w:val="000000"/>
          <w:szCs w:val="20"/>
        </w:rPr>
      </w:pPr>
      <w:r>
        <w:rPr>
          <w:rFonts w:cs="Arial"/>
          <w:color w:val="000000"/>
          <w:szCs w:val="20"/>
        </w:rPr>
      </w:r>
    </w:p>
    <w:p>
      <w:pPr>
        <w:pStyle w:val="ListParagraph"/>
        <w:numPr>
          <w:ilvl w:val="2"/>
          <w:numId w:val="1"/>
        </w:numPr>
        <w:spacing w:lineRule="auto" w:line="259" w:before="0" w:after="160"/>
        <w:contextualSpacing/>
        <w:jc w:val="both"/>
        <w:rPr>
          <w:rFonts w:cs="Arial"/>
          <w:szCs w:val="20"/>
        </w:rPr>
      </w:pPr>
      <w:commentRangeStart w:id="4"/>
      <w:r>
        <w:rPr>
          <w:rFonts w:eastAsia="Calibri" w:cs="Arial"/>
          <w:iCs/>
          <w:szCs w:val="20"/>
        </w:rPr>
        <w:t>Estimativas de consumo individualizadas, do órgão gerenciador e órgão(s) e entidade(s) participante(s):</w:t>
      </w:r>
      <w:commentRangeEnd w:id="4"/>
      <w:r>
        <w:commentReference w:id="4"/>
      </w:r>
      <w:r>
        <w:rPr>
          <w:rFonts w:eastAsia="Calibri" w:cs="Arial"/>
          <w:iCs/>
          <w:szCs w:val="20"/>
        </w:rPr>
      </w:r>
    </w:p>
    <w:tbl>
      <w:tblPr>
        <w:tblW w:w="8959" w:type="dxa"/>
        <w:jc w:val="left"/>
        <w:tblInd w:w="108" w:type="dxa"/>
        <w:tblCellMar>
          <w:top w:w="0" w:type="dxa"/>
          <w:left w:w="108" w:type="dxa"/>
          <w:bottom w:w="0" w:type="dxa"/>
          <w:right w:w="108" w:type="dxa"/>
        </w:tblCellMar>
        <w:tblLook w:firstRow="1" w:noVBand="1" w:lastRow="0" w:firstColumn="1" w:lastColumn="0" w:noHBand="0" w:val="04a0"/>
      </w:tblPr>
      <w:tblGrid>
        <w:gridCol w:w="850"/>
        <w:gridCol w:w="5839"/>
        <w:gridCol w:w="993"/>
        <w:gridCol w:w="1276"/>
      </w:tblGrid>
      <w:tr>
        <w:trPr/>
        <w:tc>
          <w:tcPr>
            <w:tcW w:w="8958"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rPr>
                <w:rFonts w:cs="Arial"/>
                <w:b/>
                <w:b/>
                <w:bCs/>
                <w:iCs/>
                <w:szCs w:val="20"/>
                <w:u w:val="single"/>
              </w:rPr>
            </w:pPr>
            <w:r>
              <w:rPr>
                <w:rFonts w:cs="Arial"/>
                <w:b/>
                <w:bCs/>
                <w:iCs/>
                <w:szCs w:val="20"/>
                <w:u w:val="single"/>
              </w:rPr>
              <w:t>Órgão gerenciador:</w:t>
            </w:r>
          </w:p>
          <w:p>
            <w:pPr>
              <w:pStyle w:val="Normal"/>
              <w:widowControl w:val="false"/>
              <w:suppressAutoHyphens w:val="true"/>
              <w:rPr>
                <w:rFonts w:cs="Arial"/>
                <w:bCs/>
                <w:szCs w:val="20"/>
              </w:rPr>
            </w:pPr>
            <w:r>
              <w:rPr>
                <w:rFonts w:cs="Arial"/>
                <w:bCs/>
                <w:szCs w:val="20"/>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ITEM</w:t>
            </w:r>
          </w:p>
          <w:p>
            <w:pPr>
              <w:pStyle w:val="Normal"/>
              <w:widowControl w:val="false"/>
              <w:suppressAutoHyphens w:val="true"/>
              <w:jc w:val="center"/>
              <w:rPr>
                <w:rFonts w:cs="Arial"/>
                <w:szCs w:val="20"/>
              </w:rPr>
            </w:pPr>
            <w:r>
              <w:rPr>
                <w:rFonts w:cs="Arial"/>
                <w:szCs w:val="20"/>
              </w:rPr>
            </w:r>
          </w:p>
        </w:tc>
        <w:tc>
          <w:tcPr>
            <w:tcW w:w="583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Arial"/>
                <w:bCs/>
                <w:szCs w:val="20"/>
              </w:rPr>
            </w:pPr>
            <w:r>
              <w:rPr>
                <w:rFonts w:cs="Arial"/>
                <w:bCs/>
                <w:szCs w:val="20"/>
              </w:rPr>
              <w:t>DESCRIÇÃO/</w:t>
            </w:r>
          </w:p>
          <w:p>
            <w:pPr>
              <w:pStyle w:val="Normal"/>
              <w:widowControl w:val="false"/>
              <w:suppressAutoHyphens w:val="true"/>
              <w:jc w:val="center"/>
              <w:rPr>
                <w:rFonts w:cs="Arial"/>
                <w:szCs w:val="20"/>
              </w:rPr>
            </w:pPr>
            <w:r>
              <w:rPr>
                <w:rFonts w:cs="Arial"/>
                <w:bCs/>
                <w:szCs w:val="20"/>
              </w:rPr>
              <w:t>ESPECIFICAÇÃO</w:t>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Unidade de Medida</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Quantidade</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1</w:t>
            </w:r>
          </w:p>
        </w:tc>
        <w:tc>
          <w:tcPr>
            <w:tcW w:w="58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2</w:t>
            </w:r>
          </w:p>
        </w:tc>
        <w:tc>
          <w:tcPr>
            <w:tcW w:w="58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3</w:t>
            </w:r>
          </w:p>
        </w:tc>
        <w:tc>
          <w:tcPr>
            <w:tcW w:w="58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w:t>
            </w:r>
          </w:p>
        </w:tc>
        <w:tc>
          <w:tcPr>
            <w:tcW w:w="583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99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r>
    </w:tbl>
    <w:p>
      <w:pPr>
        <w:pStyle w:val="Normal"/>
        <w:spacing w:lineRule="auto" w:line="276" w:before="0" w:after="120"/>
        <w:jc w:val="both"/>
        <w:rPr>
          <w:rFonts w:cs="Arial"/>
          <w:szCs w:val="20"/>
        </w:rPr>
      </w:pPr>
      <w:r>
        <w:rPr>
          <w:rFonts w:cs="Arial"/>
          <w:szCs w:val="20"/>
        </w:rPr>
      </w:r>
    </w:p>
    <w:p>
      <w:pPr>
        <w:pStyle w:val="Normal"/>
        <w:spacing w:lineRule="auto" w:line="276" w:before="0" w:after="120"/>
        <w:jc w:val="both"/>
        <w:rPr>
          <w:rFonts w:cs="Arial"/>
          <w:szCs w:val="20"/>
        </w:rPr>
      </w:pPr>
      <w:r>
        <w:rPr>
          <w:rFonts w:cs="Arial"/>
          <w:szCs w:val="20"/>
        </w:rPr>
      </w:r>
    </w:p>
    <w:tbl>
      <w:tblPr>
        <w:tblW w:w="9101" w:type="dxa"/>
        <w:jc w:val="left"/>
        <w:tblInd w:w="108" w:type="dxa"/>
        <w:tblCellMar>
          <w:top w:w="0" w:type="dxa"/>
          <w:left w:w="108" w:type="dxa"/>
          <w:bottom w:w="0" w:type="dxa"/>
          <w:right w:w="108" w:type="dxa"/>
        </w:tblCellMar>
        <w:tblLook w:firstRow="1" w:noVBand="1" w:lastRow="0" w:firstColumn="1" w:lastColumn="0" w:noHBand="0" w:val="04a0"/>
      </w:tblPr>
      <w:tblGrid>
        <w:gridCol w:w="850"/>
        <w:gridCol w:w="5840"/>
        <w:gridCol w:w="1133"/>
        <w:gridCol w:w="1277"/>
      </w:tblGrid>
      <w:tr>
        <w:trPr/>
        <w:tc>
          <w:tcPr>
            <w:tcW w:w="910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rPr>
                <w:rFonts w:cs="Arial"/>
                <w:b/>
                <w:b/>
                <w:bCs/>
                <w:iCs/>
                <w:szCs w:val="20"/>
                <w:u w:val="single"/>
              </w:rPr>
            </w:pPr>
            <w:r>
              <w:rPr>
                <w:rFonts w:cs="Arial"/>
                <w:b/>
                <w:bCs/>
                <w:iCs/>
                <w:szCs w:val="20"/>
                <w:u w:val="single"/>
              </w:rPr>
              <w:t>Órgão participante:</w:t>
            </w:r>
          </w:p>
          <w:p>
            <w:pPr>
              <w:pStyle w:val="Normal"/>
              <w:widowControl w:val="false"/>
              <w:suppressAutoHyphens w:val="true"/>
              <w:rPr>
                <w:rFonts w:cs="Arial"/>
                <w:bCs/>
                <w:szCs w:val="20"/>
              </w:rPr>
            </w:pPr>
            <w:r>
              <w:rPr>
                <w:rFonts w:cs="Arial"/>
                <w:bCs/>
                <w:szCs w:val="20"/>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ITEM</w:t>
            </w:r>
          </w:p>
          <w:p>
            <w:pPr>
              <w:pStyle w:val="Normal"/>
              <w:widowControl w:val="false"/>
              <w:suppressAutoHyphens w:val="true"/>
              <w:jc w:val="center"/>
              <w:rPr>
                <w:rFonts w:cs="Arial"/>
                <w:szCs w:val="20"/>
              </w:rPr>
            </w:pPr>
            <w:r>
              <w:rPr>
                <w:rFonts w:cs="Arial"/>
                <w:szCs w:val="20"/>
              </w:rPr>
            </w:r>
          </w:p>
        </w:tc>
        <w:tc>
          <w:tcPr>
            <w:tcW w:w="584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cs="Arial"/>
                <w:bCs/>
                <w:szCs w:val="20"/>
              </w:rPr>
            </w:pPr>
            <w:r>
              <w:rPr>
                <w:rFonts w:cs="Arial"/>
                <w:bCs/>
                <w:szCs w:val="20"/>
              </w:rPr>
              <w:t>DESCRIÇÃO/</w:t>
            </w:r>
          </w:p>
          <w:p>
            <w:pPr>
              <w:pStyle w:val="Normal"/>
              <w:widowControl w:val="false"/>
              <w:suppressAutoHyphens w:val="true"/>
              <w:jc w:val="center"/>
              <w:rPr>
                <w:rFonts w:cs="Arial"/>
                <w:szCs w:val="20"/>
              </w:rPr>
            </w:pPr>
            <w:r>
              <w:rPr>
                <w:rFonts w:cs="Arial"/>
                <w:bCs/>
                <w:szCs w:val="20"/>
              </w:rPr>
              <w:t>ESPECIFICAÇÃO</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Unidade de Medida</w:t>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jc w:val="center"/>
              <w:rPr>
                <w:rFonts w:cs="Arial"/>
                <w:bCs/>
                <w:szCs w:val="20"/>
              </w:rPr>
            </w:pPr>
            <w:r>
              <w:rPr>
                <w:rFonts w:cs="Arial"/>
                <w:bCs/>
                <w:szCs w:val="20"/>
              </w:rPr>
              <w:t>Quantidade</w:t>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1</w:t>
            </w:r>
          </w:p>
        </w:tc>
        <w:tc>
          <w:tcPr>
            <w:tcW w:w="5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2</w:t>
            </w:r>
          </w:p>
        </w:tc>
        <w:tc>
          <w:tcPr>
            <w:tcW w:w="5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3</w:t>
            </w:r>
          </w:p>
        </w:tc>
        <w:tc>
          <w:tcPr>
            <w:tcW w:w="5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r>
      <w:tr>
        <w:trPr/>
        <w:tc>
          <w:tcPr>
            <w:tcW w:w="85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jc w:val="center"/>
              <w:rPr>
                <w:rFonts w:cs="Arial"/>
                <w:szCs w:val="20"/>
              </w:rPr>
            </w:pPr>
            <w:r>
              <w:rPr>
                <w:rFonts w:cs="Arial"/>
                <w:szCs w:val="20"/>
              </w:rPr>
              <w:t>...</w:t>
            </w:r>
          </w:p>
        </w:tc>
        <w:tc>
          <w:tcPr>
            <w:tcW w:w="58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rFonts w:cs="Arial"/>
                <w:szCs w:val="20"/>
              </w:rPr>
            </w:pPr>
            <w:r>
              <w:rPr>
                <w:rFonts w:cs="Arial"/>
                <w:szCs w:val="20"/>
              </w:rPr>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true"/>
              <w:spacing w:lineRule="auto" w:line="276" w:before="0" w:after="120"/>
              <w:rPr/>
            </w:pPr>
            <w:permStart w:id="1193161879" w:edGrp="everyone"/>
            <w:permStart w:id="1193161879" w:edGrp="everyone"/>
            <w:r>
              <w:rPr/>
            </w:r>
            <w:permEnd w:id="1193161879"/>
            <w:permEnd w:id="1193161879"/>
          </w:p>
        </w:tc>
      </w:tr>
    </w:tbl>
    <w:p>
      <w:pPr>
        <w:pStyle w:val="Normal"/>
        <w:spacing w:lineRule="auto" w:line="276" w:before="0" w:after="120"/>
        <w:jc w:val="both"/>
        <w:rPr>
          <w:rFonts w:cs="Arial"/>
          <w:color w:val="000000"/>
          <w:szCs w:val="20"/>
        </w:rPr>
      </w:pPr>
      <w:r>
        <w:rPr>
          <w:rFonts w:cs="Arial"/>
          <w:color w:val="000000"/>
          <w:szCs w:val="20"/>
        </w:rPr>
      </w:r>
    </w:p>
    <w:p>
      <w:pPr>
        <w:pStyle w:val="Normal"/>
        <w:numPr>
          <w:ilvl w:val="1"/>
          <w:numId w:val="1"/>
        </w:numPr>
        <w:spacing w:lineRule="auto" w:line="276" w:before="120" w:after="120"/>
        <w:jc w:val="both"/>
        <w:rPr>
          <w:rFonts w:cs="Arial"/>
          <w:i/>
          <w:i/>
          <w:szCs w:val="20"/>
        </w:rPr>
      </w:pPr>
      <w:r>
        <w:rPr>
          <w:rFonts w:cs="Arial"/>
          <w:szCs w:val="20"/>
        </w:rPr>
        <w:t xml:space="preserve">O objeto da licitação tem a natureza de serviço comum de </w:t>
      </w:r>
      <w:permStart w:id="475279570" w:edGrp="everyone"/>
      <w:r>
        <w:rPr>
          <w:rFonts w:cs="Arial"/>
          <w:color w:val="FF0000"/>
          <w:szCs w:val="20"/>
        </w:rPr>
        <w:t>______________</w:t>
      </w:r>
      <w:r>
        <w:rPr>
          <w:rFonts w:cs="Arial"/>
          <w:color w:val="FF0000"/>
          <w:szCs w:val="20"/>
        </w:rPr>
        <w:t>.</w:t>
      </w:r>
      <w:permEnd w:id="475279570"/>
    </w:p>
    <w:p>
      <w:pPr>
        <w:pStyle w:val="Normal"/>
        <w:numPr>
          <w:ilvl w:val="1"/>
          <w:numId w:val="1"/>
        </w:numPr>
        <w:spacing w:lineRule="auto" w:line="276" w:before="120" w:after="120"/>
        <w:jc w:val="both"/>
        <w:rPr>
          <w:rFonts w:cs="Arial"/>
          <w:i/>
          <w:i/>
          <w:szCs w:val="20"/>
        </w:rPr>
      </w:pPr>
      <w:r>
        <w:rPr>
          <w:rFonts w:cs="Arial"/>
          <w:szCs w:val="20"/>
        </w:rPr>
        <w:t>Os quantitativos e respectivos códigos dos itens são os discriminados na tabela acima.</w:t>
      </w:r>
    </w:p>
    <w:p>
      <w:pPr>
        <w:pStyle w:val="Normal"/>
        <w:numPr>
          <w:ilvl w:val="1"/>
          <w:numId w:val="1"/>
        </w:numPr>
        <w:spacing w:lineRule="auto" w:line="276" w:before="120" w:after="120"/>
        <w:jc w:val="both"/>
        <w:rPr>
          <w:rFonts w:cs="Arial"/>
          <w:szCs w:val="20"/>
        </w:rPr>
      </w:pPr>
      <w:r>
        <w:rPr>
          <w:rFonts w:cs="Arial"/>
          <w:szCs w:val="20"/>
        </w:rPr>
        <w:t>A presente contratação adotará como regime de execução a ... (</w:t>
      </w:r>
      <w:commentRangeStart w:id="5"/>
      <w:r>
        <w:rPr>
          <w:rFonts w:cs="Arial"/>
          <w:szCs w:val="20"/>
        </w:rPr>
        <w:t>Empreitada por Preço Unitário/Empreitada por Preço Global/Execução por Tarefa/Empreitada Integral)</w:t>
      </w:r>
      <w:permStart w:id="558789206" w:edGrp="everyone"/>
      <w:commentRangeEnd w:id="5"/>
      <w:r>
        <w:commentReference w:id="5"/>
      </w:r>
      <w:r>
        <w:rPr>
          <w:rFonts w:cs="Arial"/>
          <w:szCs w:val="20"/>
        </w:rPr>
      </w:r>
      <w:permEnd w:id="558789206"/>
    </w:p>
    <w:p>
      <w:pPr>
        <w:pStyle w:val="Normal"/>
        <w:numPr>
          <w:ilvl w:val="1"/>
          <w:numId w:val="1"/>
        </w:numPr>
        <w:spacing w:lineRule="auto" w:line="276" w:before="120" w:after="120"/>
        <w:jc w:val="both"/>
        <w:rPr>
          <w:rFonts w:cs="Arial"/>
          <w:szCs w:val="20"/>
        </w:rPr>
      </w:pPr>
      <w:r>
        <w:rPr>
          <w:rFonts w:cs="Arial"/>
          <w:szCs w:val="20"/>
        </w:rPr>
        <w:t xml:space="preserve">O contrato terá vigência pelo período de </w:t>
      </w:r>
      <w:permStart w:id="1991451109" w:edGrp="everyone"/>
      <w:r>
        <w:rPr>
          <w:rFonts w:cs="Arial"/>
          <w:szCs w:val="20"/>
        </w:rPr>
        <w:t>____ (dias/meses)</w:t>
      </w:r>
      <w:r>
        <w:rPr>
          <w:rFonts w:cs="Arial"/>
          <w:szCs w:val="20"/>
        </w:rPr>
        <w:t xml:space="preserve">, </w:t>
      </w:r>
      <w:permEnd w:id="1991451109"/>
      <w:permStart w:id="1890999731" w:edGrp="everyone"/>
      <w:r>
        <w:rPr>
          <w:rFonts w:cs="Arial"/>
          <w:szCs w:val="20"/>
        </w:rPr>
        <w:t xml:space="preserve">podendo/não podendo </w:t>
      </w:r>
      <w:r>
        <w:rPr>
          <w:rFonts w:cs="Arial"/>
          <w:szCs w:val="20"/>
        </w:rPr>
        <w:t>ser prorrogado, com base no artigo 57, §1º, da Lei n. 8.666/93.</w:t>
      </w:r>
      <w:permEnd w:id="1890999731"/>
    </w:p>
    <w:p>
      <w:pPr>
        <w:pStyle w:val="Normal"/>
        <w:spacing w:lineRule="auto" w:line="276" w:before="0" w:after="120"/>
        <w:jc w:val="both"/>
        <w:rPr>
          <w:rFonts w:cs="Arial"/>
          <w:color w:val="000000"/>
          <w:szCs w:val="20"/>
        </w:rPr>
      </w:pPr>
      <w:r>
        <w:rPr>
          <w:rFonts w:cs="Arial"/>
          <w:color w:val="000000"/>
          <w:szCs w:val="20"/>
        </w:rPr>
      </w:r>
    </w:p>
    <w:p>
      <w:pPr>
        <w:pStyle w:val="Nivel1"/>
        <w:numPr>
          <w:ilvl w:val="0"/>
          <w:numId w:val="1"/>
        </w:numPr>
        <w:rPr>
          <w:rFonts w:cs="Arial"/>
        </w:rPr>
      </w:pPr>
      <w:commentRangeStart w:id="6"/>
      <w:r>
        <w:rPr>
          <w:rFonts w:cs="Arial"/>
        </w:rPr>
        <w:t xml:space="preserve">JUSTIFICATIVA </w:t>
      </w:r>
      <w:r>
        <w:rPr>
          <w:rFonts w:cs="Arial"/>
        </w:rPr>
      </w:r>
      <w:commentRangeEnd w:id="6"/>
      <w:r>
        <w:commentReference w:id="6"/>
      </w:r>
      <w:r>
        <w:rPr>
          <w:rFonts w:cs="Arial"/>
        </w:rPr>
        <w:t>E OBJETIVO DA CONTRATAÇÃO</w:t>
      </w:r>
    </w:p>
    <w:p>
      <w:pPr>
        <w:pStyle w:val="Normal"/>
        <w:numPr>
          <w:ilvl w:val="1"/>
          <w:numId w:val="1"/>
        </w:numPr>
        <w:spacing w:lineRule="auto" w:line="276" w:before="120" w:after="120"/>
        <w:jc w:val="both"/>
        <w:rPr>
          <w:rFonts w:cs="Arial"/>
          <w:b/>
          <w:b/>
          <w:bCs/>
          <w:color w:val="FF0000"/>
          <w:szCs w:val="20"/>
        </w:rPr>
      </w:pPr>
      <w:r>
        <w:rPr>
          <w:rFonts w:cs="Arial"/>
          <w:szCs w:val="20"/>
        </w:rPr>
        <w:t xml:space="preserve">Justificar, de forma clara, precisa e suficiente: necessidade de contratação, especificações técnicas e quantitativo do serviço (com base no histórico de utilização ou perspectiva futura da demanda). Também deve-se justificar: o regime de execução adotado, divisão dos itens/grupos/lotes e a forma de adjudicação. </w:t>
      </w:r>
    </w:p>
    <w:p>
      <w:pPr>
        <w:pStyle w:val="Normal"/>
        <w:numPr>
          <w:ilvl w:val="1"/>
          <w:numId w:val="1"/>
        </w:numPr>
        <w:suppressAutoHyphens w:val="true"/>
        <w:spacing w:before="0" w:after="120"/>
        <w:jc w:val="both"/>
        <w:rPr>
          <w:rFonts w:cs="Arial"/>
          <w:b/>
          <w:b/>
          <w:bCs/>
          <w:szCs w:val="20"/>
        </w:rPr>
      </w:pPr>
      <w:r>
        <w:rPr>
          <w:rFonts w:cs="Arial"/>
          <w:szCs w:val="20"/>
        </w:rPr>
        <w:t xml:space="preserve">A </w:t>
      </w:r>
      <w:commentRangeStart w:id="7"/>
      <w:r>
        <w:rPr>
          <w:rFonts w:cs="Arial"/>
          <w:szCs w:val="20"/>
        </w:rPr>
        <w:t>descrição da solução como um todo</w:t>
      </w:r>
      <w:r>
        <w:rPr>
          <w:rFonts w:cs="Arial"/>
          <w:szCs w:val="20"/>
        </w:rPr>
      </w:r>
      <w:commentRangeEnd w:id="7"/>
      <w:r>
        <w:commentReference w:id="7"/>
      </w:r>
      <w:r>
        <w:rPr>
          <w:rFonts w:cs="Arial"/>
          <w:szCs w:val="20"/>
        </w:rPr>
        <w:t>, conforme minudenciado nos Estudos Preliminares, abrange a prestação do serviço de ... ....</w:t>
      </w:r>
      <w:permStart w:id="1563906629" w:edGrp="everyone"/>
      <w:r>
        <w:rPr>
          <w:rFonts w:cs="Arial"/>
          <w:szCs w:val="20"/>
        </w:rPr>
        <w:t xml:space="preserve"> para ..</w:t>
      </w:r>
      <w:permEnd w:id="1563906629"/>
      <w:permStart w:id="688806208" w:edGrp="everyone"/>
      <w:r>
        <w:rPr>
          <w:rFonts w:cs="Arial"/>
          <w:szCs w:val="20"/>
        </w:rPr>
        <w:t>.</w:t>
      </w:r>
      <w:permEnd w:id="688806208"/>
    </w:p>
    <w:p>
      <w:pPr>
        <w:pStyle w:val="Nivel1"/>
        <w:numPr>
          <w:ilvl w:val="0"/>
          <w:numId w:val="1"/>
        </w:numPr>
        <w:rPr>
          <w:rFonts w:cs="Arial"/>
        </w:rPr>
      </w:pPr>
      <w:r>
        <w:rPr>
          <w:rFonts w:cs="Arial"/>
        </w:rPr>
        <w:t xml:space="preserve">DA CLASSIFICAÇÃO DOS SERVIÇOS </w:t>
      </w:r>
      <w:r>
        <w:rPr>
          <w:rFonts w:cs="Arial"/>
          <w:bCs/>
        </w:rPr>
        <w:t>E FORMA DE SELEÇÃO DO FORNECEDOR</w:t>
      </w:r>
    </w:p>
    <w:p>
      <w:pPr>
        <w:pStyle w:val="Normal"/>
        <w:numPr>
          <w:ilvl w:val="1"/>
          <w:numId w:val="1"/>
        </w:numPr>
        <w:spacing w:lineRule="auto" w:line="276" w:before="120" w:after="120"/>
        <w:jc w:val="both"/>
        <w:rPr>
          <w:rFonts w:cs="Arial"/>
          <w:iCs/>
          <w:szCs w:val="20"/>
        </w:rPr>
      </w:pPr>
      <w:r>
        <w:rPr>
          <w:rFonts w:cs="Arial"/>
          <w:iCs/>
          <w:szCs w:val="20"/>
        </w:rPr>
        <w:t>Trata-se de serviço comum, não continuado, a ser contratado mediante licitação, na modalidade pregão, em sua forma eletrônica.</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pPr>
        <w:pStyle w:val="Nivel1"/>
        <w:numPr>
          <w:ilvl w:val="0"/>
          <w:numId w:val="1"/>
        </w:numPr>
        <w:rPr>
          <w:rFonts w:cs="Arial"/>
        </w:rPr>
      </w:pPr>
      <w:r>
        <w:rPr>
          <w:rFonts w:cs="Arial"/>
        </w:rPr>
        <w:t>REQUISITOS DA CONTRATAÇÃO</w:t>
      </w:r>
    </w:p>
    <w:p>
      <w:pPr>
        <w:pStyle w:val="Normal"/>
        <w:suppressAutoHyphens w:val="true"/>
        <w:spacing w:before="0" w:after="120"/>
        <w:ind w:left="716" w:hanging="0"/>
        <w:jc w:val="both"/>
        <w:rPr>
          <w:rFonts w:cs="Arial"/>
          <w:szCs w:val="20"/>
        </w:rPr>
      </w:pPr>
      <w:r>
        <w:rPr>
          <w:rFonts w:cs="Arial"/>
          <w:szCs w:val="20"/>
        </w:rPr>
      </w:r>
    </w:p>
    <w:p>
      <w:pPr>
        <w:pStyle w:val="Normal"/>
        <w:numPr>
          <w:ilvl w:val="1"/>
          <w:numId w:val="1"/>
        </w:numPr>
        <w:suppressAutoHyphens w:val="true"/>
        <w:spacing w:before="0" w:after="120"/>
        <w:jc w:val="both"/>
        <w:rPr>
          <w:rFonts w:cs="Arial"/>
          <w:szCs w:val="20"/>
        </w:rPr>
      </w:pPr>
      <w:r>
        <w:rPr>
          <w:rFonts w:cs="Arial"/>
          <w:szCs w:val="20"/>
        </w:rPr>
        <w:t>Conforme Estudos Preliminares, os requisitos da contratação abrangem o seguinte:</w:t>
      </w:r>
    </w:p>
    <w:p>
      <w:pPr>
        <w:pStyle w:val="Normal"/>
        <w:numPr>
          <w:ilvl w:val="2"/>
          <w:numId w:val="1"/>
        </w:numPr>
        <w:suppressAutoHyphens w:val="true"/>
        <w:spacing w:before="0" w:after="120"/>
        <w:jc w:val="both"/>
        <w:rPr>
          <w:rFonts w:cs="Arial"/>
          <w:i/>
          <w:i/>
          <w:iCs/>
          <w:color w:val="FF0000"/>
          <w:szCs w:val="20"/>
        </w:rPr>
      </w:pPr>
      <w:r>
        <w:rPr>
          <w:rFonts w:cs="Arial"/>
          <w:szCs w:val="20"/>
        </w:rPr>
        <w:t xml:space="preserve">... </w:t>
      </w:r>
      <w:r>
        <w:rPr>
          <w:rFonts w:cs="Arial"/>
          <w:i/>
          <w:iCs/>
          <w:color w:val="FF0000"/>
          <w:szCs w:val="20"/>
        </w:rPr>
        <w:t>(requisitos necessários para o atendimento da necessidade)</w:t>
      </w:r>
    </w:p>
    <w:p>
      <w:pPr>
        <w:pStyle w:val="Normal"/>
        <w:numPr>
          <w:ilvl w:val="2"/>
          <w:numId w:val="1"/>
        </w:numPr>
        <w:suppressAutoHyphens w:val="true"/>
        <w:spacing w:before="0" w:after="120"/>
        <w:jc w:val="both"/>
        <w:rPr>
          <w:rFonts w:cs="Arial"/>
          <w:i/>
          <w:i/>
          <w:iCs/>
          <w:color w:val="FF0000"/>
          <w:szCs w:val="20"/>
        </w:rPr>
      </w:pPr>
      <w:r>
        <w:rPr>
          <w:rFonts w:cs="Arial"/>
          <w:i/>
          <w:iCs/>
          <w:color w:val="FF0000"/>
          <w:szCs w:val="20"/>
        </w:rPr>
        <w:t>... (serviço não continuado)</w:t>
      </w:r>
    </w:p>
    <w:p>
      <w:pPr>
        <w:pStyle w:val="Normal"/>
        <w:numPr>
          <w:ilvl w:val="2"/>
          <w:numId w:val="1"/>
        </w:numPr>
        <w:suppressAutoHyphens w:val="true"/>
        <w:spacing w:before="0" w:after="120"/>
        <w:jc w:val="both"/>
        <w:rPr>
          <w:rFonts w:cs="Arial"/>
          <w:i/>
          <w:i/>
          <w:iCs/>
          <w:color w:val="FF0000"/>
          <w:szCs w:val="20"/>
        </w:rPr>
      </w:pPr>
      <w:r>
        <w:rPr>
          <w:rFonts w:cs="Arial"/>
          <w:i/>
          <w:iCs/>
          <w:color w:val="FF0000"/>
          <w:szCs w:val="20"/>
        </w:rPr>
        <w:t>... (critérios e práticas de sustentabilidade)</w:t>
      </w:r>
    </w:p>
    <w:p>
      <w:pPr>
        <w:pStyle w:val="Normal"/>
        <w:numPr>
          <w:ilvl w:val="2"/>
          <w:numId w:val="1"/>
        </w:numPr>
        <w:suppressAutoHyphens w:val="true"/>
        <w:spacing w:before="0" w:after="120"/>
        <w:jc w:val="both"/>
        <w:rPr>
          <w:rFonts w:cs="Arial"/>
          <w:i/>
          <w:i/>
          <w:iCs/>
          <w:color w:val="FF0000"/>
          <w:szCs w:val="20"/>
        </w:rPr>
      </w:pPr>
      <w:r>
        <w:rPr>
          <w:rFonts w:cs="Arial"/>
          <w:i/>
          <w:iCs/>
          <w:color w:val="FF0000"/>
          <w:szCs w:val="20"/>
        </w:rPr>
        <w:t>... (duração inicial do contrato)</w:t>
      </w:r>
    </w:p>
    <w:p>
      <w:pPr>
        <w:pStyle w:val="Normal"/>
        <w:numPr>
          <w:ilvl w:val="2"/>
          <w:numId w:val="1"/>
        </w:numPr>
        <w:suppressAutoHyphens w:val="true"/>
        <w:spacing w:before="0" w:after="120"/>
        <w:jc w:val="both"/>
        <w:rPr>
          <w:rFonts w:cs="Arial"/>
          <w:i/>
          <w:i/>
          <w:iCs/>
          <w:color w:val="FF0000"/>
          <w:szCs w:val="20"/>
        </w:rPr>
      </w:pPr>
      <w:r>
        <w:rPr>
          <w:rFonts w:cs="Arial"/>
          <w:i/>
          <w:iCs/>
          <w:color w:val="FF0000"/>
          <w:szCs w:val="20"/>
        </w:rPr>
        <w:t>... (eventual necessidade de transição gradual com transferência de conhecimento, tecnologia e técnicas empregadas)</w:t>
      </w:r>
    </w:p>
    <w:p>
      <w:pPr>
        <w:pStyle w:val="Normal"/>
        <w:numPr>
          <w:ilvl w:val="2"/>
          <w:numId w:val="1"/>
        </w:numPr>
        <w:suppressAutoHyphens w:val="true"/>
        <w:spacing w:before="0" w:after="120"/>
        <w:jc w:val="both"/>
        <w:rPr>
          <w:rFonts w:cs="Arial"/>
          <w:i/>
          <w:i/>
          <w:iCs/>
          <w:szCs w:val="20"/>
        </w:rPr>
      </w:pPr>
      <w:r>
        <w:rPr>
          <w:rFonts w:cs="Arial"/>
          <w:i/>
          <w:iCs/>
          <w:color w:val="FF0000"/>
          <w:szCs w:val="20"/>
        </w:rPr>
        <w:t>... (quadro com soluções de mercado)</w:t>
      </w:r>
    </w:p>
    <w:p>
      <w:pPr>
        <w:pStyle w:val="Normal"/>
        <w:numPr>
          <w:ilvl w:val="1"/>
          <w:numId w:val="1"/>
        </w:numPr>
        <w:suppressAutoHyphens w:val="true"/>
        <w:spacing w:before="0" w:after="120"/>
        <w:jc w:val="both"/>
        <w:rPr>
          <w:rFonts w:cs="Arial"/>
          <w:color w:val="000000" w:themeColor="text1"/>
          <w:szCs w:val="20"/>
        </w:rPr>
      </w:pPr>
      <w:r>
        <w:rPr>
          <w:rFonts w:cs="Arial"/>
          <w:color w:val="000000" w:themeColor="text1"/>
          <w:szCs w:val="20"/>
        </w:rPr>
        <w:t>Declaração do licitante de que tem pleno conhecimento das condições necessárias para a prestação do serviço.</w:t>
      </w:r>
    </w:p>
    <w:p>
      <w:pPr>
        <w:pStyle w:val="Normal"/>
        <w:numPr>
          <w:ilvl w:val="1"/>
          <w:numId w:val="1"/>
        </w:numPr>
        <w:suppressAutoHyphens w:val="true"/>
        <w:spacing w:before="0" w:after="120"/>
        <w:jc w:val="both"/>
        <w:rPr>
          <w:rFonts w:cs="Arial"/>
          <w:i/>
          <w:i/>
          <w:iCs/>
          <w:color w:val="FF0000"/>
          <w:szCs w:val="20"/>
        </w:rPr>
      </w:pPr>
      <w:permStart w:id="1145253315" w:edGrp="everyone"/>
      <w:r>
        <w:rPr>
          <w:rFonts w:cs="Arial"/>
          <w:i/>
          <w:iCs/>
          <w:color w:val="FF0000"/>
          <w:szCs w:val="20"/>
        </w:rPr>
        <w:t>A quantidade estimada de deslocamentos é de____. Há a necessidade de hospedagem, estimada em....</w:t>
      </w:r>
      <w:permEnd w:id="1145253315"/>
    </w:p>
    <w:p>
      <w:pPr>
        <w:pStyle w:val="Normal"/>
        <w:numPr>
          <w:ilvl w:val="1"/>
          <w:numId w:val="1"/>
        </w:numPr>
        <w:suppressAutoHyphens w:val="true"/>
        <w:spacing w:before="0" w:after="120"/>
        <w:jc w:val="both"/>
        <w:rPr>
          <w:rFonts w:cs="Arial"/>
          <w:b/>
          <w:b/>
          <w:bCs/>
          <w:szCs w:val="20"/>
        </w:rPr>
      </w:pPr>
      <w:r>
        <w:rPr>
          <w:rFonts w:cs="Arial"/>
          <w:szCs w:val="20"/>
        </w:rPr>
        <w:t>As obrigações da Contratada e Contratante estão previstas neste TR.</w:t>
      </w:r>
    </w:p>
    <w:p>
      <w:pPr>
        <w:pStyle w:val="Nivel1"/>
        <w:numPr>
          <w:ilvl w:val="0"/>
          <w:numId w:val="1"/>
        </w:numPr>
        <w:rPr>
          <w:rFonts w:cs="Arial"/>
        </w:rPr>
      </w:pPr>
      <w:r>
        <w:rPr>
          <w:rFonts w:cs="Arial"/>
          <w:bCs/>
          <w:color w:val="FF0000"/>
        </w:rPr>
        <w:t>VISTORIA PARA A LICITAÇÃO</w:t>
      </w:r>
    </w:p>
    <w:p>
      <w:pPr>
        <w:pStyle w:val="Nivel1"/>
        <w:numPr>
          <w:ilvl w:val="1"/>
          <w:numId w:val="1"/>
        </w:numPr>
        <w:rPr>
          <w:rFonts w:cs="Arial"/>
          <w:b w:val="false"/>
          <w:b w:val="false"/>
        </w:rPr>
      </w:pPr>
      <w:r>
        <w:rPr>
          <w:rFonts w:cs="Arial"/>
          <w:b w:val="false"/>
          <w:color w:val="FF0000"/>
        </w:rPr>
        <w:t xml:space="preserve">Para o correto dimensionamento e elaboração de sua proposta, o licitante </w:t>
      </w:r>
      <w:commentRangeStart w:id="8"/>
      <w:r>
        <w:rPr>
          <w:rFonts w:cs="Arial"/>
          <w:b w:val="false"/>
          <w:i/>
          <w:iCs/>
          <w:color w:val="FF0000"/>
        </w:rPr>
        <w:t xml:space="preserve">poderá </w:t>
      </w:r>
      <w:r>
        <w:rPr>
          <w:rFonts w:cs="Arial"/>
          <w:b w:val="false"/>
          <w:i/>
          <w:iCs/>
          <w:color w:val="FF0000"/>
        </w:rPr>
      </w:r>
      <w:commentRangeEnd w:id="8"/>
      <w:r>
        <w:commentReference w:id="8"/>
      </w:r>
      <w:r>
        <w:rPr>
          <w:rFonts w:cs="Arial"/>
          <w:b w:val="false"/>
          <w:color w:val="FF0000"/>
        </w:rPr>
        <w:t>realizar vistoria nas instalações do local de execução dos serviços, acompanhado por servidor designado para esse fim, de segunda à sexta-feira, das ..... horas às ...... horas.</w:t>
      </w:r>
    </w:p>
    <w:p>
      <w:pPr>
        <w:pStyle w:val="Normal"/>
        <w:numPr>
          <w:ilvl w:val="1"/>
          <w:numId w:val="1"/>
        </w:numPr>
        <w:spacing w:lineRule="auto" w:line="276" w:before="120" w:after="120"/>
        <w:ind w:left="716" w:right="-15" w:hanging="432"/>
        <w:jc w:val="both"/>
        <w:rPr>
          <w:rFonts w:cs="Arial"/>
          <w:i/>
          <w:i/>
          <w:iCs/>
          <w:szCs w:val="20"/>
        </w:rPr>
      </w:pPr>
      <w:r>
        <w:rPr>
          <w:rFonts w:cs="Arial"/>
          <w:i/>
          <w:color w:val="FF0000"/>
          <w:szCs w:val="20"/>
        </w:rPr>
        <w:t>O prazo para vistoria iniciar-se-á no dia útil seguinte ao da publicação do Edital, estendendo</w:t>
      </w:r>
      <w:r>
        <w:rPr>
          <w:rFonts w:cs="Arial"/>
          <w:i/>
          <w:iCs/>
          <w:color w:val="FF0000"/>
          <w:szCs w:val="20"/>
        </w:rPr>
        <w:t>-se até o dia útil anterior à data prevista para a abertura da sessão pública.</w:t>
      </w:r>
    </w:p>
    <w:p>
      <w:pPr>
        <w:pStyle w:val="ListParagraph"/>
        <w:numPr>
          <w:ilvl w:val="2"/>
          <w:numId w:val="1"/>
        </w:numPr>
        <w:spacing w:lineRule="auto" w:line="276" w:before="120" w:after="120"/>
        <w:contextualSpacing/>
        <w:jc w:val="both"/>
        <w:rPr>
          <w:rFonts w:cs="Arial"/>
          <w:i/>
          <w:i/>
          <w:color w:val="FF0000"/>
          <w:szCs w:val="20"/>
        </w:rPr>
      </w:pPr>
      <w:r>
        <w:rPr>
          <w:rFonts w:cs="Arial"/>
          <w:i/>
          <w:iCs/>
          <w:color w:val="FF0000"/>
          <w:szCs w:val="20"/>
        </w:rPr>
        <w:t xml:space="preserve">Para a vistoria o licitante, ou o seu representante legal, deverá estar devidamente identificado, apresentando documento de identidade civil e documento expedido pela empresa comprovando sua habilitação para a realização da </w:t>
      </w:r>
      <w:commentRangeStart w:id="9"/>
      <w:r>
        <w:rPr>
          <w:rFonts w:cs="Arial"/>
          <w:i/>
          <w:iCs/>
          <w:color w:val="FF0000"/>
          <w:szCs w:val="20"/>
        </w:rPr>
        <w:t>vistoria</w:t>
      </w:r>
      <w:r>
        <w:rPr>
          <w:rFonts w:cs="Arial"/>
          <w:i/>
          <w:iCs/>
          <w:color w:val="FF0000"/>
          <w:szCs w:val="20"/>
        </w:rPr>
      </w:r>
      <w:commentRangeEnd w:id="9"/>
      <w:r>
        <w:commentReference w:id="9"/>
      </w:r>
      <w:r>
        <w:rPr>
          <w:rFonts w:cs="Arial"/>
          <w:i/>
          <w:iCs/>
          <w:color w:val="FF0000"/>
          <w:szCs w:val="20"/>
        </w:rPr>
        <w:t>.</w:t>
      </w:r>
    </w:p>
    <w:p>
      <w:pPr>
        <w:pStyle w:val="ListParagraph"/>
        <w:spacing w:lineRule="auto" w:line="276" w:before="120" w:after="120"/>
        <w:ind w:left="1922" w:hanging="0"/>
        <w:contextualSpacing/>
        <w:jc w:val="both"/>
        <w:rPr>
          <w:rFonts w:cs="Arial"/>
          <w:i/>
          <w:i/>
          <w:color w:val="FF0000"/>
          <w:szCs w:val="20"/>
        </w:rPr>
      </w:pPr>
      <w:r>
        <w:rPr>
          <w:rFonts w:cs="Arial"/>
          <w:i/>
          <w:color w:val="FF0000"/>
          <w:szCs w:val="20"/>
        </w:rPr>
      </w:r>
    </w:p>
    <w:p>
      <w:pPr>
        <w:pStyle w:val="ListParagraph"/>
        <w:numPr>
          <w:ilvl w:val="2"/>
          <w:numId w:val="1"/>
        </w:numPr>
        <w:spacing w:lineRule="auto" w:line="276" w:before="120" w:after="120"/>
        <w:contextualSpacing/>
        <w:jc w:val="both"/>
        <w:rPr>
          <w:rFonts w:cs="Arial"/>
          <w:i/>
          <w:i/>
          <w:color w:val="FF0000"/>
          <w:szCs w:val="20"/>
        </w:rPr>
      </w:pPr>
      <w:r>
        <w:rPr>
          <w:rFonts w:cs="Arial"/>
          <w:i/>
          <w:color w:val="FF0000"/>
          <w:szCs w:val="20"/>
        </w:rPr>
        <w:t>... [incluir outras instruções sobre vistoria]</w:t>
      </w:r>
    </w:p>
    <w:p>
      <w:pPr>
        <w:pStyle w:val="ListParagraph"/>
        <w:numPr>
          <w:ilvl w:val="2"/>
          <w:numId w:val="1"/>
        </w:numPr>
        <w:spacing w:lineRule="auto" w:line="276" w:before="120" w:after="120"/>
        <w:contextualSpacing/>
        <w:jc w:val="both"/>
        <w:rPr>
          <w:rFonts w:cs="Arial"/>
          <w:i/>
          <w:i/>
          <w:color w:val="FF0000"/>
          <w:szCs w:val="20"/>
        </w:rPr>
      </w:pPr>
      <w:r>
        <w:rPr>
          <w:rFonts w:cs="Arial"/>
          <w:i/>
          <w:color w:val="FF0000"/>
          <w:szCs w:val="20"/>
        </w:rPr>
        <w:t>... [incluir outras instruções sobre vistoria]</w:t>
      </w:r>
    </w:p>
    <w:p>
      <w:pPr>
        <w:pStyle w:val="ListParagraph"/>
        <w:spacing w:lineRule="auto" w:line="276" w:before="120" w:after="120"/>
        <w:ind w:left="1922" w:hanging="0"/>
        <w:contextualSpacing/>
        <w:jc w:val="both"/>
        <w:rPr>
          <w:rFonts w:cs="Arial"/>
          <w:color w:val="FF0000"/>
          <w:szCs w:val="20"/>
        </w:rPr>
      </w:pPr>
      <w:r>
        <w:rPr>
          <w:rFonts w:cs="Arial"/>
          <w:color w:val="FF0000"/>
          <w:szCs w:val="20"/>
        </w:rPr>
      </w:r>
    </w:p>
    <w:p>
      <w:pPr>
        <w:pStyle w:val="ListParagraph"/>
        <w:spacing w:lineRule="auto" w:line="276" w:before="120" w:after="120"/>
        <w:ind w:left="716" w:hanging="0"/>
        <w:contextualSpacing/>
        <w:jc w:val="both"/>
        <w:rPr>
          <w:rFonts w:cs="Arial"/>
          <w:color w:val="FF0000"/>
          <w:szCs w:val="20"/>
        </w:rPr>
      </w:pPr>
      <w:r>
        <w:rPr>
          <w:rFonts w:cs="Arial"/>
          <w:color w:val="FF0000"/>
          <w:szCs w:val="20"/>
        </w:rPr>
      </w:r>
    </w:p>
    <w:p>
      <w:pPr>
        <w:pStyle w:val="ListParagraph"/>
        <w:numPr>
          <w:ilvl w:val="1"/>
          <w:numId w:val="1"/>
        </w:numPr>
        <w:spacing w:lineRule="auto" w:line="276" w:before="120" w:after="120"/>
        <w:contextualSpacing/>
        <w:jc w:val="both"/>
        <w:rPr>
          <w:rFonts w:cs="Arial"/>
          <w:color w:val="FF0000"/>
          <w:szCs w:val="20"/>
        </w:rPr>
      </w:pPr>
      <w:r>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istParagraph"/>
        <w:spacing w:lineRule="auto" w:line="276" w:before="120" w:after="120"/>
        <w:ind w:left="432" w:hanging="0"/>
        <w:contextualSpacing/>
        <w:jc w:val="both"/>
        <w:rPr>
          <w:rFonts w:cs="Arial"/>
          <w:color w:val="FF0000"/>
          <w:szCs w:val="20"/>
        </w:rPr>
      </w:pPr>
      <w:r>
        <w:rPr>
          <w:rFonts w:cs="Arial"/>
          <w:color w:val="FF0000"/>
          <w:szCs w:val="20"/>
        </w:rPr>
      </w:r>
    </w:p>
    <w:p>
      <w:pPr>
        <w:pStyle w:val="ListParagraph"/>
        <w:numPr>
          <w:ilvl w:val="1"/>
          <w:numId w:val="1"/>
        </w:numPr>
        <w:spacing w:lineRule="auto" w:line="276" w:before="120" w:after="120"/>
        <w:contextualSpacing/>
        <w:jc w:val="both"/>
        <w:rPr>
          <w:rFonts w:cs="Arial"/>
          <w:color w:val="FF0000"/>
          <w:szCs w:val="20"/>
        </w:rPr>
      </w:pPr>
      <w:r>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pPr>
        <w:pStyle w:val="ListParagraph"/>
        <w:rPr>
          <w:rFonts w:cs="Arial"/>
          <w:strike/>
          <w:color w:val="FF0000"/>
          <w:szCs w:val="20"/>
        </w:rPr>
      </w:pPr>
      <w:r>
        <w:rPr>
          <w:rFonts w:cs="Arial"/>
          <w:strike/>
          <w:color w:val="FF0000"/>
          <w:szCs w:val="20"/>
        </w:rPr>
      </w:r>
    </w:p>
    <w:p>
      <w:pPr>
        <w:pStyle w:val="ListParagraph"/>
        <w:numPr>
          <w:ilvl w:val="1"/>
          <w:numId w:val="1"/>
        </w:numPr>
        <w:spacing w:lineRule="auto" w:line="276" w:before="120" w:after="120"/>
        <w:contextualSpacing/>
        <w:jc w:val="both"/>
        <w:rPr>
          <w:rFonts w:cs="Arial"/>
          <w:color w:val="FF0000"/>
          <w:szCs w:val="20"/>
        </w:rPr>
      </w:pPr>
      <w:permStart w:id="1119700647" w:edGrp="everyone"/>
      <w:r>
        <w:rPr>
          <w:rFonts w:cs="Arial"/>
          <w:i/>
          <w:iCs/>
          <w:color w:val="FF0000"/>
          <w:szCs w:val="20"/>
        </w:rPr>
        <w:t>A licitante deverá declarar que tomou conhecimento de todas as informações e das condições locais para o cumprimento das obrigações objeto da licitação.</w:t>
      </w:r>
      <w:permEnd w:id="1119700647"/>
    </w:p>
    <w:p>
      <w:pPr>
        <w:pStyle w:val="Nivel1"/>
        <w:numPr>
          <w:ilvl w:val="0"/>
          <w:numId w:val="1"/>
        </w:numPr>
        <w:rPr>
          <w:rFonts w:cs="Arial"/>
        </w:rPr>
      </w:pPr>
      <w:commentRangeStart w:id="10"/>
      <w:r>
        <w:rPr>
          <w:rFonts w:cs="Arial"/>
        </w:rPr>
        <w:t>MODELO DE EXECUÇÃO DO OBJETO</w:t>
      </w:r>
      <w:commentRangeEnd w:id="10"/>
      <w:r>
        <w:commentReference w:id="10"/>
      </w:r>
      <w:r>
        <w:rPr>
          <w:rFonts w:cs="Arial"/>
        </w:rPr>
      </w:r>
    </w:p>
    <w:p>
      <w:pPr>
        <w:pStyle w:val="Normal"/>
        <w:suppressAutoHyphens w:val="true"/>
        <w:spacing w:before="0" w:after="120"/>
        <w:ind w:left="716" w:hanging="0"/>
        <w:jc w:val="both"/>
        <w:rPr>
          <w:rFonts w:cs="Arial"/>
          <w:szCs w:val="20"/>
        </w:rPr>
      </w:pPr>
      <w:r>
        <w:rPr>
          <w:rFonts w:cs="Arial"/>
          <w:szCs w:val="20"/>
        </w:rPr>
      </w:r>
    </w:p>
    <w:p>
      <w:pPr>
        <w:pStyle w:val="Normal"/>
        <w:numPr>
          <w:ilvl w:val="1"/>
          <w:numId w:val="1"/>
        </w:numPr>
        <w:suppressAutoHyphens w:val="true"/>
        <w:spacing w:before="0" w:after="120"/>
        <w:jc w:val="both"/>
        <w:rPr>
          <w:rFonts w:cs="Arial"/>
          <w:szCs w:val="20"/>
        </w:rPr>
      </w:pPr>
      <w:r>
        <w:rPr>
          <w:rFonts w:cs="Arial"/>
          <w:szCs w:val="20"/>
        </w:rPr>
        <w:t>A execução do objeto seguirá a seguinte dinâmica:</w:t>
      </w:r>
    </w:p>
    <w:p>
      <w:pPr>
        <w:pStyle w:val="Normal"/>
        <w:numPr>
          <w:ilvl w:val="2"/>
          <w:numId w:val="1"/>
        </w:numPr>
        <w:suppressAutoHyphens w:val="true"/>
        <w:spacing w:before="0" w:after="120"/>
        <w:jc w:val="both"/>
        <w:rPr>
          <w:rFonts w:cs="Arial"/>
          <w:szCs w:val="20"/>
        </w:rPr>
      </w:pPr>
      <w:permStart w:id="1069172588" w:edGrp="everyone"/>
      <w:r>
        <w:rPr>
          <w:rFonts w:cs="Arial"/>
          <w:szCs w:val="20"/>
        </w:rPr>
        <w:t>(...)</w:t>
      </w:r>
      <w:permEnd w:id="1069172588"/>
    </w:p>
    <w:p>
      <w:pPr>
        <w:pStyle w:val="Normal"/>
        <w:numPr>
          <w:ilvl w:val="2"/>
          <w:numId w:val="1"/>
        </w:numPr>
        <w:suppressAutoHyphens w:val="true"/>
        <w:spacing w:before="0" w:after="120"/>
        <w:jc w:val="both"/>
        <w:rPr>
          <w:rFonts w:cs="Arial"/>
          <w:szCs w:val="20"/>
        </w:rPr>
      </w:pPr>
      <w:r>
        <w:rPr>
          <w:rFonts w:cs="Arial"/>
          <w:szCs w:val="20"/>
        </w:rPr>
        <w:t>(...)</w:t>
      </w:r>
    </w:p>
    <w:p>
      <w:pPr>
        <w:pStyle w:val="Normal"/>
        <w:suppressAutoHyphens w:val="true"/>
        <w:spacing w:before="0" w:after="120"/>
        <w:ind w:left="1922" w:hanging="0"/>
        <w:jc w:val="both"/>
        <w:rPr>
          <w:rFonts w:cs="Arial"/>
          <w:szCs w:val="20"/>
        </w:rPr>
      </w:pPr>
      <w:permStart w:id="1950483241" w:edGrp="everyone"/>
      <w:r>
        <w:rPr>
          <w:rFonts w:cs="Arial"/>
          <w:szCs w:val="20"/>
        </w:rPr>
        <w:t>[...]</w:t>
      </w:r>
      <w:permEnd w:id="1950483241"/>
    </w:p>
    <w:p>
      <w:pPr>
        <w:pStyle w:val="ListParagraph"/>
        <w:ind w:left="716" w:hanging="0"/>
        <w:jc w:val="both"/>
        <w:rPr>
          <w:rFonts w:cs="Arial"/>
          <w:bCs/>
          <w:szCs w:val="20"/>
        </w:rPr>
      </w:pPr>
      <w:r>
        <w:rPr>
          <w:rFonts w:cs="Arial"/>
          <w:bCs/>
          <w:szCs w:val="20"/>
        </w:rPr>
      </w:r>
    </w:p>
    <w:p>
      <w:pPr>
        <w:pStyle w:val="Nivel1"/>
        <w:numPr>
          <w:ilvl w:val="0"/>
          <w:numId w:val="1"/>
        </w:numPr>
        <w:rPr>
          <w:rFonts w:cs="Arial"/>
        </w:rPr>
      </w:pPr>
      <w:commentRangeStart w:id="11"/>
      <w:r>
        <w:rPr>
          <w:rFonts w:cs="Arial"/>
          <w:bCs/>
        </w:rPr>
        <w:t>MODELO DE GESTÃO DO CONTRATO E CRITÉRIOS DE MEDIÇÃO E PAGAMENTO</w:t>
      </w:r>
      <w:r>
        <w:rPr>
          <w:rFonts w:cs="Arial"/>
          <w:bCs/>
        </w:rPr>
      </w:r>
      <w:commentRangeEnd w:id="11"/>
      <w:r>
        <w:commentReference w:id="11"/>
      </w:r>
      <w:r>
        <w:rPr>
          <w:rFonts w:cs="Arial"/>
          <w:bCs/>
        </w:rPr>
        <w:t>:</w:t>
      </w:r>
    </w:p>
    <w:p>
      <w:pPr>
        <w:pStyle w:val="ListParagraph"/>
        <w:keepNext w:val="true"/>
        <w:keepLines/>
        <w:numPr>
          <w:ilvl w:val="1"/>
          <w:numId w:val="5"/>
        </w:numPr>
        <w:spacing w:lineRule="auto" w:line="276" w:before="120" w:after="120"/>
        <w:jc w:val="both"/>
        <w:outlineLvl w:val="0"/>
        <w:rPr>
          <w:rFonts w:eastAsia="ＭＳ ゴシック" w:cs="Arial" w:eastAsiaTheme="majorEastAsia"/>
          <w:b/>
          <w:b/>
          <w:bCs/>
          <w:vanish/>
          <w:color w:val="000000"/>
          <w:szCs w:val="20"/>
        </w:rPr>
      </w:pPr>
      <w:r>
        <w:rPr>
          <w:rFonts w:eastAsia="ＭＳ ゴシック" w:cs="Arial" w:eastAsiaTheme="majorEastAsia"/>
          <w:b/>
          <w:bCs/>
          <w:vanish/>
          <w:color w:val="000000"/>
          <w:szCs w:val="20"/>
        </w:rPr>
      </w:r>
    </w:p>
    <w:p>
      <w:pPr>
        <w:pStyle w:val="Nivel1"/>
        <w:numPr>
          <w:ilvl w:val="0"/>
          <w:numId w:val="1"/>
        </w:numPr>
        <w:rPr>
          <w:rFonts w:cs="Arial"/>
          <w:color w:val="FF0000"/>
        </w:rPr>
      </w:pPr>
      <w:commentRangeStart w:id="12"/>
      <w:r>
        <w:rPr>
          <w:rFonts w:cs="Arial"/>
          <w:color w:val="FF0000"/>
        </w:rPr>
        <w:t>MATERIAIS A SEREM DISPONIBILIZADOS</w:t>
      </w:r>
    </w:p>
    <w:p>
      <w:pPr>
        <w:pStyle w:val="Normal"/>
        <w:numPr>
          <w:ilvl w:val="1"/>
          <w:numId w:val="1"/>
        </w:numPr>
        <w:spacing w:lineRule="auto" w:line="276" w:before="120" w:after="120"/>
        <w:ind w:left="425" w:hanging="0"/>
        <w:jc w:val="both"/>
        <w:rPr>
          <w:rFonts w:cs="Arial"/>
          <w:bCs/>
          <w:color w:val="FF0000"/>
          <w:szCs w:val="20"/>
        </w:rPr>
      </w:pPr>
      <w:r>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pPr>
        <w:pStyle w:val="ListParagraph"/>
        <w:numPr>
          <w:ilvl w:val="2"/>
          <w:numId w:val="1"/>
        </w:numPr>
        <w:spacing w:lineRule="auto" w:line="276" w:before="120" w:after="120"/>
        <w:ind w:left="1134" w:hanging="0"/>
        <w:jc w:val="both"/>
        <w:rPr>
          <w:rFonts w:cs="Arial"/>
          <w:bCs/>
          <w:color w:val="FF0000"/>
          <w:szCs w:val="20"/>
        </w:rPr>
      </w:pPr>
      <w:r>
        <w:rPr>
          <w:rFonts w:cs="Arial"/>
          <w:bCs/>
          <w:color w:val="FF0000"/>
          <w:szCs w:val="20"/>
        </w:rPr>
        <w:t>.......;</w:t>
      </w:r>
    </w:p>
    <w:p>
      <w:pPr>
        <w:pStyle w:val="ListParagraph"/>
        <w:numPr>
          <w:ilvl w:val="2"/>
          <w:numId w:val="1"/>
        </w:numPr>
        <w:spacing w:lineRule="auto" w:line="276" w:before="120" w:after="120"/>
        <w:ind w:left="1134" w:hanging="0"/>
        <w:jc w:val="both"/>
        <w:rPr>
          <w:rFonts w:cs="Arial"/>
          <w:bCs/>
          <w:color w:val="FF0000"/>
          <w:szCs w:val="20"/>
        </w:rPr>
      </w:pPr>
      <w:r>
        <w:rPr>
          <w:rFonts w:cs="Arial"/>
          <w:bCs/>
          <w:color w:val="FF0000"/>
          <w:szCs w:val="20"/>
        </w:rPr>
        <w:t>.......;</w:t>
      </w:r>
    </w:p>
    <w:p>
      <w:pPr>
        <w:pStyle w:val="ListParagraph"/>
        <w:numPr>
          <w:ilvl w:val="2"/>
          <w:numId w:val="1"/>
        </w:numPr>
        <w:spacing w:lineRule="auto" w:line="276" w:before="120" w:after="120"/>
        <w:ind w:left="1134" w:hanging="0"/>
        <w:jc w:val="both"/>
        <w:rPr>
          <w:rFonts w:cs="Arial"/>
          <w:bCs/>
          <w:color w:val="FF0000"/>
          <w:szCs w:val="20"/>
        </w:rPr>
      </w:pPr>
      <w:r>
        <w:rPr>
          <w:rFonts w:cs="Arial"/>
          <w:bCs/>
          <w:color w:val="FF0000"/>
          <w:szCs w:val="20"/>
        </w:rPr>
        <w:t>.......;</w:t>
      </w:r>
      <w:permStart w:id="1592022734" w:edGrp="everyone"/>
      <w:commentRangeEnd w:id="12"/>
      <w:r>
        <w:commentReference w:id="12"/>
      </w:r>
      <w:r>
        <w:rPr>
          <w:rFonts w:cs="Arial"/>
          <w:bCs/>
          <w:color w:val="FF0000"/>
          <w:szCs w:val="20"/>
        </w:rPr>
      </w:r>
      <w:permEnd w:id="1592022734"/>
      <w:bookmarkStart w:id="0" w:name="_Hlk528056197"/>
      <w:bookmarkEnd w:id="0"/>
    </w:p>
    <w:p>
      <w:pPr>
        <w:pStyle w:val="Nivel1"/>
        <w:numPr>
          <w:ilvl w:val="0"/>
          <w:numId w:val="1"/>
        </w:numPr>
        <w:rPr>
          <w:rFonts w:cs="Arial"/>
        </w:rPr>
      </w:pPr>
      <w:r>
        <w:rPr>
          <w:rFonts w:cs="Arial"/>
          <w:lang w:eastAsia="en-US"/>
        </w:rPr>
        <w:t>OBRIGAÇÕES DA CONTRATANTE</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Exigir o cumprimento de todas as obrigações assumidas pela Contratada, de acordo com as cláusulas contratuais e os termos de sua proposta;</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Pagar à Contratada o valor resultante da prestação do serviço, no prazo e condições estabelecidas neste Termo de Referência;</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Efetuar as retenções tributárias devidas sobre o valor da Nota Fiscal/Fatura da contratada, no que couber, em conformidade com o item 6 do Anexo XI da IN SEGES/MP n. 5/2017.</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Não praticar atos de ingerência na administração da Contratada, tais como:</w:t>
      </w:r>
    </w:p>
    <w:p>
      <w:pPr>
        <w:pStyle w:val="ListParagraph"/>
        <w:numPr>
          <w:ilvl w:val="2"/>
          <w:numId w:val="1"/>
        </w:numPr>
        <w:spacing w:lineRule="auto" w:line="276" w:before="120" w:after="120"/>
        <w:ind w:left="1134" w:hanging="0"/>
        <w:jc w:val="both"/>
        <w:rPr>
          <w:rFonts w:cs="Arial"/>
          <w:color w:val="000000"/>
          <w:szCs w:val="20"/>
        </w:rPr>
      </w:pPr>
      <w:r>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istParagraph"/>
        <w:numPr>
          <w:ilvl w:val="2"/>
          <w:numId w:val="1"/>
        </w:numPr>
        <w:spacing w:lineRule="auto" w:line="276" w:before="120" w:after="120"/>
        <w:ind w:left="1134" w:hanging="0"/>
        <w:jc w:val="both"/>
        <w:rPr>
          <w:rFonts w:cs="Arial"/>
          <w:color w:val="000000"/>
          <w:szCs w:val="20"/>
        </w:rPr>
      </w:pPr>
      <w:r>
        <w:rPr>
          <w:rFonts w:cs="Arial"/>
          <w:color w:val="000000"/>
          <w:szCs w:val="20"/>
        </w:rPr>
        <w:t>direcionar a contratação de pessoas para trabalhar nas empresas Contratadas;</w:t>
      </w:r>
    </w:p>
    <w:p>
      <w:pPr>
        <w:pStyle w:val="ListParagraph"/>
        <w:numPr>
          <w:ilvl w:val="2"/>
          <w:numId w:val="1"/>
        </w:numPr>
        <w:spacing w:lineRule="auto" w:line="276" w:before="120" w:after="120"/>
        <w:ind w:left="1134" w:hanging="0"/>
        <w:jc w:val="both"/>
        <w:rPr>
          <w:rFonts w:cs="Arial"/>
          <w:color w:val="000000"/>
          <w:szCs w:val="20"/>
        </w:rPr>
      </w:pPr>
      <w:r>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istParagraph"/>
        <w:numPr>
          <w:ilvl w:val="2"/>
          <w:numId w:val="1"/>
        </w:numPr>
        <w:spacing w:lineRule="auto" w:line="276" w:before="120" w:after="120"/>
        <w:ind w:left="1134" w:hanging="0"/>
        <w:jc w:val="both"/>
        <w:rPr>
          <w:rFonts w:cs="Arial"/>
          <w:color w:val="000000"/>
          <w:szCs w:val="20"/>
        </w:rPr>
      </w:pPr>
      <w:r>
        <w:rPr>
          <w:rFonts w:cs="Arial"/>
          <w:color w:val="000000"/>
          <w:szCs w:val="20"/>
        </w:rPr>
        <w:t>considerar os trabalhadores da Contratada como colaboradores eventuais do próprio órgão ou entidade responsável pela contratação, especialmente para efeito de concessão de diárias e passagens.</w:t>
      </w:r>
    </w:p>
    <w:p>
      <w:pPr>
        <w:pStyle w:val="Normal"/>
        <w:numPr>
          <w:ilvl w:val="1"/>
          <w:numId w:val="1"/>
        </w:numPr>
        <w:spacing w:lineRule="auto" w:line="276" w:before="120" w:after="120"/>
        <w:ind w:left="425" w:hanging="0"/>
        <w:jc w:val="both"/>
        <w:rPr>
          <w:rFonts w:cs="Arial"/>
          <w:color w:val="000000"/>
          <w:szCs w:val="20"/>
        </w:rPr>
      </w:pPr>
      <w:r>
        <w:rPr>
          <w:rFonts w:cs="Arial"/>
          <w:szCs w:val="20"/>
        </w:rPr>
        <w:t xml:space="preserve">Fornecer por escrito as informações necessárias para o desenvolvimento dos serviços objeto </w:t>
      </w:r>
      <w:r>
        <w:rPr>
          <w:rFonts w:cs="Arial"/>
          <w:color w:val="000000"/>
          <w:szCs w:val="20"/>
        </w:rPr>
        <w:t>do contrato;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Realizar avaliações periódicas da qualidade dos serviços, após seu recebimento;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 xml:space="preserve">Cientificar o órgão de representação judicial da Advocacia-Geral da União para adoção das medidas cabíveis quando do descumprimento das obrigações pela Contratada; </w:t>
      </w:r>
    </w:p>
    <w:p>
      <w:pPr>
        <w:pStyle w:val="Normal"/>
        <w:numPr>
          <w:ilvl w:val="1"/>
          <w:numId w:val="1"/>
        </w:numPr>
        <w:spacing w:lineRule="auto" w:line="276" w:before="120" w:after="120"/>
        <w:ind w:left="425" w:hanging="0"/>
        <w:jc w:val="both"/>
        <w:rPr>
          <w:rFonts w:cs="Arial"/>
          <w:i/>
          <w:i/>
          <w:color w:val="FF0000"/>
          <w:szCs w:val="20"/>
        </w:rPr>
      </w:pPr>
      <w:commentRangeStart w:id="13"/>
      <w:r>
        <w:rPr>
          <w:rFonts w:cs="Arial"/>
          <w:i/>
          <w:color w:val="FF0000"/>
          <w:szCs w:val="20"/>
        </w:rPr>
        <w:t>Arquivar, entre outros documentos, projetos, "as built", especificações técnicas, orçamentos, termos de recebimento, contratos e aditamentos, relatórios de inspeções técnicas após o recebimento do serviço e notificações expedidas;</w:t>
      </w:r>
      <w:permStart w:id="376182395" w:edGrp="everyone"/>
      <w:commentRangeEnd w:id="13"/>
      <w:r>
        <w:commentReference w:id="13"/>
      </w:r>
      <w:r>
        <w:rPr>
          <w:rFonts w:cs="Arial"/>
          <w:i/>
          <w:color w:val="FF0000"/>
          <w:szCs w:val="20"/>
        </w:rPr>
      </w:r>
      <w:permEnd w:id="376182395"/>
    </w:p>
    <w:p>
      <w:pPr>
        <w:pStyle w:val="ListParagraph"/>
        <w:spacing w:lineRule="auto" w:line="276" w:before="120" w:after="120"/>
        <w:ind w:left="716" w:hanging="0"/>
        <w:jc w:val="both"/>
        <w:rPr>
          <w:rFonts w:cs="Arial"/>
          <w:i/>
          <w:i/>
          <w:color w:val="FF0000"/>
          <w:szCs w:val="20"/>
        </w:rPr>
      </w:pPr>
      <w:r>
        <w:rPr>
          <w:rFonts w:cs="Arial"/>
          <w:i/>
          <w:color w:val="FF0000"/>
          <w:szCs w:val="20"/>
        </w:rPr>
      </w:r>
    </w:p>
    <w:p>
      <w:pPr>
        <w:pStyle w:val="Nivel1"/>
        <w:numPr>
          <w:ilvl w:val="0"/>
          <w:numId w:val="1"/>
        </w:numPr>
        <w:rPr>
          <w:rFonts w:cs="Arial"/>
        </w:rPr>
      </w:pPr>
      <w:commentRangeStart w:id="14"/>
      <w:r>
        <w:rPr>
          <w:rFonts w:cs="Arial"/>
        </w:rPr>
        <w:t>OBRIGAÇÕES DA CONTRATADA</w:t>
      </w:r>
      <w:commentRangeEnd w:id="14"/>
      <w:r>
        <w:commentReference w:id="14"/>
      </w:r>
      <w:r>
        <w:rPr>
          <w:rFonts w:cs="Arial"/>
        </w:rPr>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Utilizar empregados habilitados e com conhecimentos básicos dos serviços a serem executados, em conformidade com as normas e determinações em vigor;</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pPr>
        <w:pStyle w:val="Normal"/>
        <w:numPr>
          <w:ilvl w:val="1"/>
          <w:numId w:val="1"/>
        </w:numPr>
        <w:spacing w:lineRule="auto" w:line="276" w:before="120" w:after="120"/>
        <w:ind w:left="425" w:hanging="0"/>
        <w:jc w:val="both"/>
        <w:rPr>
          <w:rFonts w:cs="Arial"/>
          <w:i/>
          <w:i/>
          <w:color w:val="FF0000"/>
          <w:szCs w:val="20"/>
        </w:rPr>
      </w:pPr>
      <w:commentRangeStart w:id="15"/>
      <w:r>
        <w:rPr>
          <w:rFonts w:cs="Arial"/>
          <w:i/>
          <w:color w:val="FF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commentRangeEnd w:id="15"/>
      <w:r>
        <w:commentReference w:id="15"/>
      </w:r>
      <w:r>
        <w:rPr>
          <w:rFonts w:cs="Arial"/>
          <w:i/>
          <w:color w:val="FF0000"/>
          <w:szCs w:val="20"/>
        </w:rPr>
      </w:r>
    </w:p>
    <w:p>
      <w:pPr>
        <w:pStyle w:val="Normal"/>
        <w:numPr>
          <w:ilvl w:val="1"/>
          <w:numId w:val="1"/>
        </w:numPr>
        <w:spacing w:lineRule="auto" w:line="276" w:before="120" w:after="120"/>
        <w:ind w:left="425" w:hanging="0"/>
        <w:jc w:val="both"/>
        <w:rPr>
          <w:rFonts w:cs="Arial"/>
          <w:i/>
          <w:i/>
          <w:color w:val="FF0000"/>
          <w:szCs w:val="20"/>
          <w:lang w:eastAsia="en-US"/>
        </w:rPr>
      </w:pPr>
      <w:commentRangeStart w:id="16"/>
      <w:r>
        <w:rPr>
          <w:rFonts w:cs="Arial"/>
          <w:i/>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ermStart w:id="943546405" w:edGrp="everyone"/>
      <w:commentRangeEnd w:id="16"/>
      <w:r>
        <w:commentReference w:id="16"/>
      </w:r>
      <w:r>
        <w:rPr>
          <w:rFonts w:cs="Arial"/>
          <w:i/>
          <w:color w:val="FF0000"/>
          <w:szCs w:val="20"/>
        </w:rPr>
      </w:r>
      <w:permEnd w:id="943546405"/>
    </w:p>
    <w:p>
      <w:pPr>
        <w:pStyle w:val="Normal"/>
        <w:numPr>
          <w:ilvl w:val="1"/>
          <w:numId w:val="1"/>
        </w:numPr>
        <w:spacing w:lineRule="auto" w:line="276" w:before="120" w:after="120"/>
        <w:ind w:left="425" w:hanging="0"/>
        <w:jc w:val="both"/>
        <w:rPr>
          <w:rFonts w:cs="Arial"/>
          <w:szCs w:val="20"/>
        </w:rPr>
      </w:pPr>
      <w:r>
        <w:rPr>
          <w:rFonts w:cs="Arial"/>
          <w:szCs w:val="20"/>
        </w:rPr>
        <w:t xml:space="preserve">Comunicar ao Fiscal do contrato, no prazo de 24 (vinte e quatro) horas, qualquer ocorrência anormal ou </w:t>
      </w:r>
      <w:r>
        <w:rPr>
          <w:rFonts w:cs="Arial"/>
          <w:color w:val="000000"/>
          <w:szCs w:val="20"/>
        </w:rPr>
        <w:t>acidente</w:t>
      </w:r>
      <w:r>
        <w:rPr>
          <w:rFonts w:cs="Arial"/>
          <w:szCs w:val="20"/>
        </w:rPr>
        <w:t xml:space="preserve"> que se verifique no local dos serviços.</w:t>
      </w:r>
    </w:p>
    <w:p>
      <w:pPr>
        <w:pStyle w:val="Normal"/>
        <w:numPr>
          <w:ilvl w:val="1"/>
          <w:numId w:val="1"/>
        </w:numPr>
        <w:spacing w:lineRule="auto" w:line="276" w:before="120" w:after="120"/>
        <w:ind w:left="425" w:hanging="0"/>
        <w:jc w:val="both"/>
        <w:rPr>
          <w:rFonts w:cs="Arial"/>
          <w:color w:val="000000"/>
          <w:szCs w:val="20"/>
        </w:rPr>
      </w:pPr>
      <w:r>
        <w:rPr>
          <w:rFonts w:cs="Arial"/>
          <w:szCs w:val="20"/>
        </w:rPr>
        <w:t>Prestar todo esclarecimento ou informação solicitada pela Contratante ou por seus prepostos, garantindo-lhes o acesso, a qualquer tempo, ao local dos trabalhos, bem como aos documentos relativos à execução do empreendimento.</w:t>
      </w:r>
    </w:p>
    <w:p>
      <w:pPr>
        <w:pStyle w:val="Normal"/>
        <w:numPr>
          <w:ilvl w:val="1"/>
          <w:numId w:val="1"/>
        </w:numPr>
        <w:spacing w:lineRule="auto" w:line="276" w:before="120" w:after="120"/>
        <w:ind w:left="425" w:hanging="0"/>
        <w:jc w:val="both"/>
        <w:rPr>
          <w:rFonts w:cs="Arial"/>
          <w:color w:val="000000"/>
          <w:szCs w:val="20"/>
        </w:rPr>
      </w:pPr>
      <w:r>
        <w:rPr>
          <w:rFonts w:cs="Arial"/>
          <w:szCs w:val="20"/>
        </w:rPr>
        <w:t>Paralisar, por determinação da Contratante, qualquer atividade que não esteja sendo executada de acordo com a boa técnica ou que ponha em risco a segurança de pessoas ou bens de terceiros.</w:t>
      </w:r>
    </w:p>
    <w:p>
      <w:pPr>
        <w:pStyle w:val="Normal"/>
        <w:numPr>
          <w:ilvl w:val="1"/>
          <w:numId w:val="1"/>
        </w:numPr>
        <w:spacing w:lineRule="auto" w:line="276" w:before="120" w:after="120"/>
        <w:ind w:left="425" w:hanging="0"/>
        <w:jc w:val="both"/>
        <w:rPr>
          <w:rFonts w:cs="Arial"/>
          <w:color w:val="000000"/>
          <w:szCs w:val="20"/>
        </w:rPr>
      </w:pPr>
      <w:r>
        <w:rPr>
          <w:rFonts w:cs="Arial"/>
          <w:szCs w:val="20"/>
        </w:rPr>
        <w:t>Promover a guarda, manutenção e vigilância de materiais, ferramentas, e tudo o que for necessário à execução dos serviços, durante a vigência do contrato.</w:t>
      </w:r>
    </w:p>
    <w:p>
      <w:pPr>
        <w:pStyle w:val="Normal"/>
        <w:numPr>
          <w:ilvl w:val="1"/>
          <w:numId w:val="1"/>
        </w:numPr>
        <w:spacing w:lineRule="auto" w:line="276" w:before="120" w:after="120"/>
        <w:ind w:left="425" w:hanging="0"/>
        <w:jc w:val="both"/>
        <w:rPr>
          <w:rFonts w:cs="Arial"/>
          <w:szCs w:val="20"/>
        </w:rPr>
      </w:pPr>
      <w:r>
        <w:rPr>
          <w:rFonts w:cs="Arial"/>
          <w:szCs w:val="20"/>
        </w:rPr>
        <w:t>Promover a organização técnica e administrativa dos serviços, de modo a conduzi-los eficaz e eficientemente, de acordo com os documentos e especificações que integram este Termo de Referência, no prazo determinado.</w:t>
      </w:r>
    </w:p>
    <w:p>
      <w:pPr>
        <w:pStyle w:val="Normal"/>
        <w:numPr>
          <w:ilvl w:val="1"/>
          <w:numId w:val="1"/>
        </w:numPr>
        <w:spacing w:lineRule="auto" w:line="276" w:before="120" w:after="120"/>
        <w:ind w:left="425" w:hanging="0"/>
        <w:jc w:val="both"/>
        <w:rPr>
          <w:rFonts w:cs="Arial"/>
          <w:szCs w:val="20"/>
        </w:rPr>
      </w:pPr>
      <w:r>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numPr>
          <w:ilvl w:val="1"/>
          <w:numId w:val="1"/>
        </w:numPr>
        <w:spacing w:lineRule="auto" w:line="276" w:before="120" w:after="120"/>
        <w:ind w:left="425" w:hanging="0"/>
        <w:jc w:val="both"/>
        <w:rPr>
          <w:rFonts w:cs="Arial"/>
          <w:szCs w:val="20"/>
        </w:rPr>
      </w:pPr>
      <w:r>
        <w:rPr>
          <w:rFonts w:cs="Arial"/>
          <w:szCs w:val="20"/>
        </w:rPr>
        <w:t>Submeter previamente, por escrito, à Contratante, para análise e aprovação, quaisquer mudanças nos métodos executivos que fujam às especificações do memorial descritivo.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 xml:space="preserve"> </w:t>
      </w:r>
      <w:r>
        <w:rPr>
          <w:rFonts w:cs="Arial"/>
          <w:color w:val="000000"/>
          <w:szCs w:val="20"/>
        </w:rPr>
        <w:t>Manter durante toda a vigência do contrato, em compatibilidade com as obrigações assumidas, todas as condições de habilitação e qualificação exigidas na licitação;</w:t>
      </w:r>
    </w:p>
    <w:p>
      <w:pPr>
        <w:pStyle w:val="ListParagraph"/>
        <w:numPr>
          <w:ilvl w:val="1"/>
          <w:numId w:val="1"/>
        </w:numPr>
        <w:spacing w:lineRule="auto" w:line="276" w:before="120" w:after="120"/>
        <w:ind w:left="425" w:hanging="0"/>
        <w:jc w:val="both"/>
        <w:rPr>
          <w:rFonts w:cs="Arial"/>
          <w:color w:val="000000"/>
          <w:szCs w:val="20"/>
        </w:rPr>
      </w:pPr>
      <w:r>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cs="Arial"/>
          <w:i/>
          <w:iCs/>
          <w:color w:val="000000" w:themeColor="text1"/>
          <w:szCs w:val="20"/>
        </w:rPr>
        <w:t>.</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Guardar sigilo sobre todas as informações obtidas em decorrência do cumprimento do contrato;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Normal"/>
        <w:numPr>
          <w:ilvl w:val="1"/>
          <w:numId w:val="1"/>
        </w:numPr>
        <w:spacing w:lineRule="auto" w:line="276" w:before="120" w:after="120"/>
        <w:ind w:left="425" w:hanging="0"/>
        <w:jc w:val="both"/>
        <w:rPr>
          <w:rFonts w:cs="Arial"/>
          <w:color w:val="000000"/>
          <w:szCs w:val="20"/>
        </w:rPr>
      </w:pPr>
      <w:r>
        <w:rPr>
          <w:rFonts w:cs="Arial"/>
          <w:szCs w:val="20"/>
        </w:rPr>
        <w:t>Cumprir, além dos postulados legais vigentes de âmbito federal, estadual ou municipal, as normas de segurança da Contratante;</w:t>
      </w:r>
    </w:p>
    <w:p>
      <w:pPr>
        <w:pStyle w:val="Normal"/>
        <w:numPr>
          <w:ilvl w:val="1"/>
          <w:numId w:val="1"/>
        </w:numPr>
        <w:spacing w:lineRule="auto" w:line="276" w:before="120" w:after="120"/>
        <w:ind w:left="425" w:hanging="0"/>
        <w:jc w:val="both"/>
        <w:rPr>
          <w:rFonts w:cs="Arial"/>
          <w:szCs w:val="20"/>
        </w:rPr>
      </w:pPr>
      <w:r>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numPr>
          <w:ilvl w:val="1"/>
          <w:numId w:val="1"/>
        </w:numPr>
        <w:spacing w:lineRule="auto" w:line="276" w:before="120" w:after="120"/>
        <w:ind w:left="425" w:hanging="0"/>
        <w:jc w:val="both"/>
        <w:rPr>
          <w:rFonts w:cs="Arial"/>
          <w:szCs w:val="20"/>
        </w:rPr>
      </w:pPr>
      <w:r>
        <w:rPr>
          <w:rFonts w:cs="Arial"/>
          <w:szCs w:val="20"/>
        </w:rPr>
        <w:t>Assegurar à CONTRATANTE, em conformidade com o previsto no subitem 6.1, “a”e “b”, do Anexo VII – F da Instrução Normativa SEGES/MP nº 5, de 25/05/2017:</w:t>
      </w:r>
    </w:p>
    <w:p>
      <w:pPr>
        <w:pStyle w:val="Normal"/>
        <w:numPr>
          <w:ilvl w:val="2"/>
          <w:numId w:val="1"/>
        </w:numPr>
        <w:spacing w:lineRule="auto" w:line="276" w:before="120" w:after="120"/>
        <w:jc w:val="both"/>
        <w:rPr>
          <w:rFonts w:cs="Arial"/>
          <w:szCs w:val="20"/>
        </w:rPr>
      </w:pPr>
      <w:r>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Normal"/>
        <w:numPr>
          <w:ilvl w:val="2"/>
          <w:numId w:val="1"/>
        </w:numPr>
        <w:spacing w:lineRule="auto" w:line="276" w:before="120" w:after="120"/>
        <w:jc w:val="both"/>
        <w:rPr>
          <w:rFonts w:cs="Arial"/>
          <w:szCs w:val="20"/>
        </w:rPr>
      </w:pPr>
      <w:r>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Normal"/>
        <w:numPr>
          <w:ilvl w:val="1"/>
          <w:numId w:val="1"/>
        </w:numPr>
        <w:spacing w:lineRule="auto" w:line="276" w:before="120" w:after="120"/>
        <w:ind w:left="425" w:hanging="0"/>
        <w:jc w:val="both"/>
        <w:rPr>
          <w:rFonts w:cs="Arial"/>
          <w:i/>
          <w:i/>
          <w:color w:val="FF0000"/>
          <w:szCs w:val="20"/>
        </w:rPr>
      </w:pPr>
      <w:commentRangeStart w:id="17"/>
      <w:r>
        <w:rPr>
          <w:rFonts w:cs="Arial"/>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pPr>
        <w:pStyle w:val="Normal"/>
        <w:numPr>
          <w:ilvl w:val="1"/>
          <w:numId w:val="1"/>
        </w:numPr>
        <w:spacing w:lineRule="auto" w:line="276" w:before="120" w:after="120"/>
        <w:ind w:left="425" w:hanging="0"/>
        <w:jc w:val="both"/>
        <w:rPr>
          <w:rFonts w:cs="Arial"/>
          <w:i/>
          <w:i/>
          <w:color w:val="FF0000"/>
          <w:szCs w:val="20"/>
        </w:rPr>
      </w:pPr>
      <w:r>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numPr>
          <w:ilvl w:val="1"/>
          <w:numId w:val="1"/>
        </w:numPr>
        <w:spacing w:lineRule="auto" w:line="276" w:before="120" w:after="120"/>
        <w:ind w:left="425" w:hanging="0"/>
        <w:jc w:val="both"/>
        <w:rPr>
          <w:rFonts w:cs="Arial"/>
          <w:i/>
          <w:i/>
          <w:color w:val="FF0000"/>
          <w:szCs w:val="20"/>
        </w:rPr>
      </w:pPr>
      <w:r>
        <w:rPr>
          <w:rFonts w:cs="Arial"/>
          <w:i/>
          <w:color w:val="FF0000"/>
          <w:szCs w:val="20"/>
        </w:rPr>
        <w:t>Responsabilizar-se pela padronização, pela compatibilidade, pelo gerenciamento centralizado e pela qualidade da subcontratação.</w:t>
      </w:r>
      <w:commentRangeEnd w:id="17"/>
      <w:r>
        <w:commentReference w:id="17"/>
      </w:r>
      <w:r>
        <w:rPr>
          <w:rFonts w:cs="Arial"/>
          <w:i/>
          <w:color w:val="FF0000"/>
          <w:szCs w:val="20"/>
        </w:rPr>
      </w:r>
    </w:p>
    <w:p>
      <w:pPr>
        <w:pStyle w:val="Normal"/>
        <w:numPr>
          <w:ilvl w:val="1"/>
          <w:numId w:val="1"/>
        </w:numPr>
        <w:spacing w:lineRule="auto" w:line="276" w:before="120" w:after="120"/>
        <w:ind w:left="425" w:hanging="0"/>
        <w:jc w:val="both"/>
        <w:rPr>
          <w:rFonts w:cs="Arial"/>
          <w:i/>
          <w:i/>
          <w:color w:val="FF0000"/>
          <w:szCs w:val="20"/>
        </w:rPr>
      </w:pPr>
      <w:commentRangeStart w:id="18"/>
      <w:r>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ermStart w:id="782909998" w:edGrp="everyone"/>
      <w:commentRangeEnd w:id="18"/>
      <w:r>
        <w:commentReference w:id="18"/>
      </w:r>
      <w:r>
        <w:rPr>
          <w:rFonts w:cs="Arial"/>
          <w:i/>
          <w:color w:val="FF0000"/>
          <w:szCs w:val="20"/>
        </w:rPr>
      </w:r>
      <w:permEnd w:id="782909998"/>
    </w:p>
    <w:p>
      <w:pPr>
        <w:pStyle w:val="Normal"/>
        <w:spacing w:lineRule="auto" w:line="276" w:before="120" w:after="120"/>
        <w:ind w:left="425" w:hanging="0"/>
        <w:jc w:val="both"/>
        <w:rPr>
          <w:rFonts w:cs="Arial"/>
          <w:color w:val="000000"/>
          <w:szCs w:val="20"/>
        </w:rPr>
      </w:pPr>
      <w:r>
        <w:rPr>
          <w:rFonts w:cs="Arial"/>
          <w:color w:val="000000"/>
          <w:szCs w:val="20"/>
        </w:rPr>
      </w:r>
    </w:p>
    <w:p>
      <w:pPr>
        <w:pStyle w:val="Nivel1"/>
        <w:numPr>
          <w:ilvl w:val="0"/>
          <w:numId w:val="1"/>
        </w:numPr>
        <w:rPr>
          <w:rFonts w:cs="Arial"/>
        </w:rPr>
      </w:pPr>
      <w:r>
        <w:rPr>
          <w:rFonts w:cs="Arial"/>
        </w:rPr>
        <w:t xml:space="preserve">DA SUBCONTRATAÇÃO  </w:t>
      </w:r>
    </w:p>
    <w:p>
      <w:pPr>
        <w:pStyle w:val="Nivel1"/>
        <w:numPr>
          <w:ilvl w:val="1"/>
          <w:numId w:val="1"/>
        </w:numPr>
        <w:spacing w:before="480" w:after="120"/>
        <w:rPr>
          <w:rFonts w:cs="Arial"/>
          <w:b w:val="false"/>
          <w:b w:val="false"/>
          <w:i/>
          <w:i/>
          <w:color w:val="FF0000"/>
        </w:rPr>
      </w:pPr>
      <w:r>
        <w:rPr>
          <w:rFonts w:cs="Arial"/>
          <w:b w:val="false"/>
          <w:i/>
          <w:color w:val="FF0000"/>
        </w:rPr>
        <w:t>Não será admitida a subcontratação do objeto licitatório.</w:t>
      </w:r>
    </w:p>
    <w:p>
      <w:pPr>
        <w:pStyle w:val="Normal"/>
        <w:tabs>
          <w:tab w:val="clear" w:pos="708"/>
          <w:tab w:val="left" w:pos="0" w:leader="none"/>
        </w:tabs>
        <w:spacing w:lineRule="auto" w:line="276" w:before="120" w:after="120"/>
        <w:ind w:left="425" w:hanging="0"/>
        <w:jc w:val="both"/>
        <w:rPr>
          <w:rFonts w:cs="Arial"/>
          <w:b/>
          <w:b/>
          <w:color w:val="FF0000"/>
          <w:szCs w:val="20"/>
          <w:u w:val="single"/>
        </w:rPr>
      </w:pPr>
      <w:commentRangeStart w:id="19"/>
      <w:r>
        <w:rPr>
          <w:rFonts w:cs="Arial"/>
          <w:b/>
          <w:color w:val="FF0000"/>
          <w:szCs w:val="20"/>
          <w:u w:val="single"/>
        </w:rPr>
        <w:t>OU</w:t>
      </w:r>
      <w:commentRangeEnd w:id="19"/>
      <w:r>
        <w:commentReference w:id="19"/>
      </w:r>
      <w:r>
        <w:rPr>
          <w:rFonts w:cs="Arial"/>
          <w:b/>
          <w:color w:val="FF0000"/>
          <w:szCs w:val="20"/>
          <w:u w:val="single"/>
        </w:rPr>
      </w:r>
    </w:p>
    <w:p>
      <w:pPr>
        <w:pStyle w:val="ListParagraph"/>
        <w:numPr>
          <w:ilvl w:val="0"/>
          <w:numId w:val="3"/>
        </w:numPr>
        <w:spacing w:lineRule="auto" w:line="276" w:before="120" w:after="120"/>
        <w:jc w:val="both"/>
        <w:rPr>
          <w:rFonts w:cs="Arial"/>
          <w:i/>
          <w:i/>
          <w:vanish/>
          <w:color w:val="FF0000"/>
          <w:szCs w:val="20"/>
        </w:rPr>
      </w:pPr>
      <w:r>
        <w:rPr>
          <w:rFonts w:cs="Arial"/>
          <w:i/>
          <w:vanish/>
          <w:color w:val="FF0000"/>
          <w:szCs w:val="20"/>
        </w:rPr>
      </w:r>
    </w:p>
    <w:p>
      <w:pPr>
        <w:pStyle w:val="ListParagraph"/>
        <w:numPr>
          <w:ilvl w:val="0"/>
          <w:numId w:val="3"/>
        </w:numPr>
        <w:spacing w:lineRule="auto" w:line="276" w:before="120" w:after="120"/>
        <w:jc w:val="both"/>
        <w:rPr>
          <w:rFonts w:cs="Arial"/>
          <w:i/>
          <w:i/>
          <w:vanish/>
          <w:color w:val="FF0000"/>
          <w:szCs w:val="20"/>
        </w:rPr>
      </w:pPr>
      <w:r>
        <w:rPr>
          <w:rFonts w:cs="Arial"/>
          <w:i/>
          <w:vanish/>
          <w:color w:val="FF0000"/>
          <w:szCs w:val="20"/>
        </w:rPr>
      </w:r>
    </w:p>
    <w:p>
      <w:pPr>
        <w:pStyle w:val="ListParagraph"/>
        <w:numPr>
          <w:ilvl w:val="0"/>
          <w:numId w:val="3"/>
        </w:numPr>
        <w:spacing w:lineRule="auto" w:line="276" w:before="120" w:after="120"/>
        <w:jc w:val="both"/>
        <w:rPr>
          <w:rFonts w:cs="Arial"/>
          <w:i/>
          <w:i/>
          <w:vanish/>
          <w:color w:val="FF0000"/>
          <w:szCs w:val="20"/>
        </w:rPr>
      </w:pPr>
      <w:r>
        <w:rPr>
          <w:rFonts w:cs="Arial"/>
          <w:i/>
          <w:vanish/>
          <w:color w:val="FF0000"/>
          <w:szCs w:val="20"/>
        </w:rPr>
      </w:r>
    </w:p>
    <w:p>
      <w:pPr>
        <w:pStyle w:val="ListParagraph"/>
        <w:numPr>
          <w:ilvl w:val="0"/>
          <w:numId w:val="3"/>
        </w:numPr>
        <w:spacing w:lineRule="auto" w:line="276" w:before="120" w:after="120"/>
        <w:jc w:val="both"/>
        <w:rPr>
          <w:rFonts w:cs="Arial"/>
          <w:i/>
          <w:i/>
          <w:vanish/>
          <w:color w:val="FF0000"/>
          <w:szCs w:val="20"/>
        </w:rPr>
      </w:pPr>
      <w:r>
        <w:rPr>
          <w:rFonts w:cs="Arial"/>
          <w:i/>
          <w:vanish/>
          <w:color w:val="FF0000"/>
          <w:szCs w:val="20"/>
        </w:rPr>
      </w:r>
    </w:p>
    <w:p>
      <w:pPr>
        <w:pStyle w:val="ListParagraph"/>
        <w:numPr>
          <w:ilvl w:val="0"/>
          <w:numId w:val="3"/>
        </w:numPr>
        <w:spacing w:lineRule="auto" w:line="276" w:before="120" w:after="120"/>
        <w:jc w:val="both"/>
        <w:rPr>
          <w:rFonts w:cs="Arial"/>
          <w:i/>
          <w:i/>
          <w:vanish/>
          <w:color w:val="FF0000"/>
          <w:szCs w:val="20"/>
        </w:rPr>
      </w:pPr>
      <w:r>
        <w:rPr>
          <w:rFonts w:cs="Arial"/>
          <w:i/>
          <w:vanish/>
          <w:color w:val="FF0000"/>
          <w:szCs w:val="20"/>
        </w:rPr>
      </w:r>
    </w:p>
    <w:p>
      <w:pPr>
        <w:pStyle w:val="Normal"/>
        <w:numPr>
          <w:ilvl w:val="1"/>
          <w:numId w:val="3"/>
        </w:numPr>
        <w:tabs>
          <w:tab w:val="clear" w:pos="708"/>
          <w:tab w:val="left" w:pos="425" w:leader="none"/>
        </w:tabs>
        <w:spacing w:lineRule="auto" w:line="276" w:before="120" w:after="120"/>
        <w:ind w:left="857" w:hanging="432"/>
        <w:jc w:val="both"/>
        <w:rPr>
          <w:rFonts w:cs="Arial"/>
          <w:i/>
          <w:i/>
          <w:color w:val="FF0000"/>
          <w:szCs w:val="20"/>
        </w:rPr>
      </w:pPr>
      <w:r>
        <w:rPr>
          <w:rFonts w:cs="Arial"/>
          <w:i/>
          <w:color w:val="FF0000"/>
          <w:szCs w:val="20"/>
        </w:rPr>
        <w:t>É permitida a subcontratação parcial do objeto, até o limite de ......%(..... por cento) do valor total do contrato, nas seguintes condições:</w:t>
      </w:r>
    </w:p>
    <w:p>
      <w:pPr>
        <w:pStyle w:val="Normal"/>
        <w:numPr>
          <w:ilvl w:val="2"/>
          <w:numId w:val="3"/>
        </w:numPr>
        <w:spacing w:lineRule="auto" w:line="276" w:before="120" w:after="120"/>
        <w:ind w:left="1134" w:hanging="0"/>
        <w:jc w:val="both"/>
        <w:rPr>
          <w:rFonts w:cs="Arial"/>
          <w:i/>
          <w:i/>
          <w:color w:val="FF0000"/>
          <w:szCs w:val="20"/>
        </w:rPr>
      </w:pPr>
      <w:r>
        <w:rPr>
          <w:rFonts w:cs="Arial"/>
          <w:i/>
          <w:color w:val="FF0000"/>
          <w:szCs w:val="20"/>
        </w:rPr>
        <w:t>É vedada a sub-rogação completa ou da parcela principal da obrigação</w:t>
      </w:r>
    </w:p>
    <w:p>
      <w:pPr>
        <w:pStyle w:val="Normal"/>
        <w:numPr>
          <w:ilvl w:val="2"/>
          <w:numId w:val="3"/>
        </w:numPr>
        <w:spacing w:lineRule="auto" w:line="276" w:before="120" w:after="120"/>
        <w:ind w:left="1134" w:hanging="0"/>
        <w:jc w:val="both"/>
        <w:rPr>
          <w:rFonts w:cs="Arial"/>
          <w:i/>
          <w:i/>
          <w:color w:val="FF0000"/>
          <w:szCs w:val="20"/>
        </w:rPr>
      </w:pPr>
      <w:r>
        <w:rPr>
          <w:rFonts w:cs="Arial"/>
          <w:i/>
          <w:color w:val="FF0000"/>
          <w:szCs w:val="20"/>
        </w:rPr>
        <w:t>...</w:t>
      </w:r>
    </w:p>
    <w:p>
      <w:pPr>
        <w:pStyle w:val="Normal"/>
        <w:numPr>
          <w:ilvl w:val="2"/>
          <w:numId w:val="3"/>
        </w:numPr>
        <w:spacing w:lineRule="auto" w:line="276" w:before="120" w:after="120"/>
        <w:ind w:left="1134" w:hanging="0"/>
        <w:jc w:val="both"/>
        <w:rPr>
          <w:rFonts w:cs="Arial"/>
          <w:i/>
          <w:i/>
          <w:color w:val="FF0000"/>
          <w:szCs w:val="20"/>
        </w:rPr>
      </w:pPr>
      <w:r>
        <w:rPr>
          <w:rFonts w:cs="Arial"/>
          <w:i/>
          <w:color w:val="FF0000"/>
          <w:szCs w:val="20"/>
        </w:rPr>
        <w:t>....</w:t>
      </w:r>
    </w:p>
    <w:p>
      <w:pPr>
        <w:pStyle w:val="Normal"/>
        <w:numPr>
          <w:ilvl w:val="1"/>
          <w:numId w:val="3"/>
        </w:numPr>
        <w:spacing w:lineRule="auto" w:line="276" w:before="120" w:after="120"/>
        <w:ind w:left="425" w:hanging="0"/>
        <w:jc w:val="both"/>
        <w:rPr>
          <w:rFonts w:cs="Arial"/>
          <w:i/>
          <w:i/>
          <w:color w:val="FF0000"/>
          <w:szCs w:val="20"/>
          <w:lang w:eastAsia="en-US"/>
        </w:rPr>
      </w:pPr>
      <w:r>
        <w:rPr>
          <w:rFonts w:cs="Arial"/>
          <w:i/>
          <w:color w:val="FF0000"/>
          <w:szCs w:val="20"/>
        </w:rPr>
        <w:t xml:space="preserve">A subcontratação depende de autorização prévia da Contratante, a quem incumbe avaliar se a subcontratada cumpre os requisitos de qualificação técnica necessários para a execução do objeto. </w:t>
      </w:r>
    </w:p>
    <w:p>
      <w:pPr>
        <w:pStyle w:val="Normal"/>
        <w:numPr>
          <w:ilvl w:val="1"/>
          <w:numId w:val="3"/>
        </w:numPr>
        <w:spacing w:lineRule="auto" w:line="276" w:before="120" w:after="120"/>
        <w:ind w:left="425" w:hanging="0"/>
        <w:jc w:val="both"/>
        <w:rPr>
          <w:rFonts w:cs="Arial"/>
          <w:i/>
          <w:i/>
          <w:color w:val="FF0000"/>
          <w:szCs w:val="20"/>
          <w:lang w:eastAsia="zh-CN"/>
        </w:rPr>
      </w:pPr>
      <w:r>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pPr>
        <w:pStyle w:val="Normal"/>
        <w:numPr>
          <w:ilvl w:val="1"/>
          <w:numId w:val="3"/>
        </w:numPr>
        <w:spacing w:lineRule="auto" w:line="276" w:before="120" w:after="120"/>
        <w:ind w:left="425" w:hanging="0"/>
        <w:jc w:val="both"/>
        <w:rPr>
          <w:rFonts w:cs="Arial"/>
          <w:i/>
          <w:i/>
          <w:iCs/>
          <w:color w:val="FF0000"/>
          <w:szCs w:val="20"/>
        </w:rPr>
      </w:pPr>
      <w:r>
        <w:rPr>
          <w:rFonts w:cs="Arial"/>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pPr>
        <w:pStyle w:val="Normal"/>
        <w:numPr>
          <w:ilvl w:val="2"/>
          <w:numId w:val="3"/>
        </w:numPr>
        <w:spacing w:lineRule="auto" w:line="276" w:before="120" w:after="120"/>
        <w:jc w:val="both"/>
        <w:rPr>
          <w:rFonts w:cs="Arial"/>
          <w:i/>
          <w:i/>
          <w:color w:val="FF0000"/>
          <w:szCs w:val="20"/>
        </w:rPr>
      </w:pPr>
      <w:r>
        <w:rPr>
          <w:rFonts w:cs="Arial"/>
          <w:i/>
          <w:color w:val="FF0000"/>
          <w:szCs w:val="20"/>
        </w:rPr>
        <w:t>as microempresas e as empresas de pequeno porte a serem subcontratadas deverão ser indicadas e qualificadas pelos licitantes no momento da apresentação das propostas</w:t>
      </w:r>
      <w:r>
        <w:rPr>
          <w:rFonts w:cs="Arial"/>
          <w:b/>
          <w:i/>
          <w:color w:val="FF0000"/>
          <w:szCs w:val="20"/>
        </w:rPr>
        <w:t xml:space="preserve">,  </w:t>
      </w:r>
      <w:r>
        <w:rPr>
          <w:rFonts w:cs="Arial"/>
          <w:i/>
          <w:color w:val="FF0000"/>
          <w:szCs w:val="20"/>
        </w:rPr>
        <w:t xml:space="preserve">com a descrição dos bens e serviços a serem fornecidos e seus respectivos valores; </w:t>
      </w:r>
    </w:p>
    <w:p>
      <w:pPr>
        <w:pStyle w:val="Normal"/>
        <w:numPr>
          <w:ilvl w:val="2"/>
          <w:numId w:val="3"/>
        </w:numPr>
        <w:spacing w:lineRule="auto" w:line="276" w:before="120" w:after="120"/>
        <w:jc w:val="both"/>
        <w:rPr>
          <w:rFonts w:cs="Arial"/>
          <w:i/>
          <w:i/>
          <w:color w:val="FF0000"/>
          <w:szCs w:val="20"/>
        </w:rPr>
      </w:pPr>
      <w:r>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pPr>
        <w:pStyle w:val="Normal"/>
        <w:numPr>
          <w:ilvl w:val="2"/>
          <w:numId w:val="3"/>
        </w:numPr>
        <w:spacing w:lineRule="auto" w:line="276" w:before="120" w:after="120"/>
        <w:jc w:val="both"/>
        <w:rPr>
          <w:rFonts w:cs="Arial"/>
          <w:i/>
          <w:i/>
          <w:color w:val="FF0000"/>
          <w:szCs w:val="20"/>
        </w:rPr>
      </w:pPr>
      <w:r>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pPr>
        <w:pStyle w:val="Normal"/>
        <w:numPr>
          <w:ilvl w:val="2"/>
          <w:numId w:val="3"/>
        </w:numPr>
        <w:spacing w:lineRule="auto" w:line="276" w:before="120" w:after="120"/>
        <w:jc w:val="both"/>
        <w:rPr>
          <w:rFonts w:cs="Arial"/>
          <w:i/>
          <w:i/>
          <w:color w:val="FF0000"/>
          <w:szCs w:val="20"/>
        </w:rPr>
      </w:pPr>
      <w:r>
        <w:rPr>
          <w:rFonts w:cs="Arial"/>
          <w:i/>
          <w:color w:val="FF0000"/>
          <w:szCs w:val="20"/>
        </w:rPr>
        <w:t>a exigência de subcontratação não será aplicável quando o licitante for:</w:t>
      </w:r>
    </w:p>
    <w:p>
      <w:pPr>
        <w:pStyle w:val="Normal"/>
        <w:numPr>
          <w:ilvl w:val="3"/>
          <w:numId w:val="3"/>
        </w:numPr>
        <w:spacing w:lineRule="auto" w:line="276" w:before="120" w:after="120"/>
        <w:jc w:val="both"/>
        <w:rPr>
          <w:rFonts w:cs="Arial"/>
          <w:i/>
          <w:i/>
          <w:color w:val="FF0000"/>
          <w:szCs w:val="20"/>
        </w:rPr>
      </w:pPr>
      <w:r>
        <w:rPr>
          <w:rFonts w:cs="Arial"/>
          <w:i/>
          <w:color w:val="FF0000"/>
          <w:szCs w:val="20"/>
        </w:rPr>
        <w:t>microempresa ou empresa de pequeno porte;</w:t>
      </w:r>
    </w:p>
    <w:p>
      <w:pPr>
        <w:pStyle w:val="Normal"/>
        <w:numPr>
          <w:ilvl w:val="3"/>
          <w:numId w:val="3"/>
        </w:numPr>
        <w:spacing w:lineRule="auto" w:line="276" w:before="120" w:after="120"/>
        <w:jc w:val="both"/>
        <w:rPr/>
      </w:pPr>
      <w:r>
        <w:rPr>
          <w:rFonts w:cs="Arial"/>
          <w:i/>
          <w:color w:val="FF0000"/>
          <w:szCs w:val="20"/>
        </w:rPr>
        <w:t> </w:t>
      </w:r>
      <w:r>
        <w:rPr>
          <w:rFonts w:cs="Arial"/>
          <w:i/>
          <w:color w:val="FF0000"/>
          <w:szCs w:val="20"/>
        </w:rPr>
        <w:t>consórcio composto em sua totalidade por microempresas e empresas de pequeno porte, respeitado o disposto no</w:t>
      </w:r>
      <w:r>
        <w:rPr>
          <w:rStyle w:val="Appleconvertedspace"/>
          <w:rFonts w:cs="Arial"/>
          <w:i/>
          <w:color w:val="FF0000"/>
          <w:szCs w:val="20"/>
        </w:rPr>
        <w:t> </w:t>
      </w:r>
      <w:r>
        <w:fldChar w:fldCharType="begin"/>
      </w:r>
      <w:r>
        <w:rPr>
          <w:rStyle w:val="LinkdaInternet"/>
          <w:i/>
          <w:szCs w:val="20"/>
          <w:rFonts w:eastAsia="ＭＳ ゴシック" w:cs="Arial"/>
        </w:rPr>
        <w:instrText> HYPERLINK "http://www.planalto.gov.br/ccivil_03/LEIS/L8666cons.htm" \l "art33"</w:instrText>
      </w:r>
      <w:r>
        <w:rPr>
          <w:rStyle w:val="LinkdaInternet"/>
          <w:i/>
          <w:szCs w:val="20"/>
          <w:rFonts w:eastAsia="ＭＳ ゴシック" w:cs="Arial"/>
        </w:rPr>
        <w:fldChar w:fldCharType="separate"/>
      </w:r>
      <w:r>
        <w:rPr>
          <w:rStyle w:val="LinkdaInternet"/>
          <w:rFonts w:eastAsia="ＭＳ ゴシック" w:cs="Arial" w:eastAsiaTheme="majorEastAsia"/>
          <w:i/>
          <w:color w:val="FF0000"/>
          <w:szCs w:val="20"/>
        </w:rPr>
        <w:t>art. 33 da Lei nº 8.666, de 1993</w:t>
      </w:r>
      <w:r>
        <w:rPr>
          <w:rStyle w:val="LinkdaInternet"/>
          <w:i/>
          <w:szCs w:val="20"/>
          <w:rFonts w:eastAsia="ＭＳ ゴシック" w:cs="Arial"/>
        </w:rPr>
        <w:fldChar w:fldCharType="end"/>
      </w:r>
      <w:r>
        <w:rPr>
          <w:rFonts w:cs="Arial"/>
          <w:i/>
          <w:color w:val="FF0000"/>
          <w:szCs w:val="20"/>
        </w:rPr>
        <w:t>; e</w:t>
      </w:r>
    </w:p>
    <w:p>
      <w:pPr>
        <w:pStyle w:val="Normal"/>
        <w:numPr>
          <w:ilvl w:val="3"/>
          <w:numId w:val="3"/>
        </w:numPr>
        <w:spacing w:lineRule="auto" w:line="276" w:before="120" w:after="120"/>
        <w:jc w:val="both"/>
        <w:rPr>
          <w:rFonts w:cs="Arial"/>
          <w:i/>
          <w:i/>
          <w:color w:val="FF0000"/>
          <w:szCs w:val="20"/>
        </w:rPr>
      </w:pPr>
      <w:r>
        <w:rPr>
          <w:rFonts w:cs="Arial"/>
          <w:i/>
          <w:color w:val="FF0000"/>
          <w:szCs w:val="20"/>
        </w:rPr>
        <w:t>consórcio composto parcialmente por microempresas ou empresas de pequeno porte com participação igual ou superior ao percentual exigido de subcontratação. </w:t>
      </w:r>
    </w:p>
    <w:p>
      <w:pPr>
        <w:pStyle w:val="Normal"/>
        <w:numPr>
          <w:ilvl w:val="2"/>
          <w:numId w:val="3"/>
        </w:numPr>
        <w:spacing w:lineRule="auto" w:line="276" w:before="120" w:after="120"/>
        <w:jc w:val="both"/>
        <w:rPr>
          <w:rFonts w:cs="Arial"/>
          <w:i/>
          <w:i/>
          <w:color w:val="FF0000"/>
          <w:szCs w:val="20"/>
        </w:rPr>
      </w:pPr>
      <w:r>
        <w:rPr>
          <w:rFonts w:cs="Arial"/>
          <w:i/>
          <w:color w:val="FF0000"/>
          <w:szCs w:val="20"/>
        </w:rPr>
        <w:t xml:space="preserve"> </w:t>
      </w:r>
      <w:r>
        <w:rPr>
          <w:rFonts w:cs="Arial"/>
          <w:i/>
          <w:color w:val="FF0000"/>
          <w:szCs w:val="20"/>
        </w:rPr>
        <w:t>Não se admite a exigência de subcontratação para o fornecimento de bens, exceto quando estiver vinculado à prestação de serviços acessórios. </w:t>
      </w:r>
    </w:p>
    <w:p>
      <w:pPr>
        <w:pStyle w:val="Normal"/>
        <w:numPr>
          <w:ilvl w:val="2"/>
          <w:numId w:val="3"/>
        </w:numPr>
        <w:spacing w:lineRule="auto" w:line="276" w:before="120" w:after="120"/>
        <w:jc w:val="both"/>
        <w:rPr>
          <w:rFonts w:cs="Arial"/>
          <w:i/>
          <w:i/>
          <w:color w:val="FF0000"/>
          <w:szCs w:val="20"/>
        </w:rPr>
      </w:pPr>
      <w:r>
        <w:rPr>
          <w:rFonts w:cs="Arial"/>
          <w:i/>
          <w:color w:val="FF0000"/>
          <w:szCs w:val="20"/>
        </w:rPr>
        <w:t> </w:t>
      </w:r>
      <w:permStart w:id="1695119173" w:edGrp="everyone"/>
      <w:r>
        <w:rPr>
          <w:rFonts w:cs="Arial"/>
          <w:i/>
          <w:color w:val="FF0000"/>
          <w:szCs w:val="20"/>
        </w:rPr>
        <w:t>Os empenhos e pagamentos referentes às parcelas subcontratadas serão destinados diretamente às microempresas e empresas de pequeno porte subcontratadas</w:t>
      </w:r>
      <w:permEnd w:id="1695119173"/>
    </w:p>
    <w:p>
      <w:pPr>
        <w:pStyle w:val="Nivel1"/>
        <w:numPr>
          <w:ilvl w:val="0"/>
          <w:numId w:val="1"/>
        </w:numPr>
        <w:rPr>
          <w:rFonts w:cs="Arial"/>
          <w:lang w:eastAsia="en-US"/>
        </w:rPr>
      </w:pPr>
      <w:r>
        <w:rPr>
          <w:rFonts w:cs="Arial"/>
          <w:lang w:eastAsia="en-US"/>
        </w:rPr>
        <w:t>ALTERAÇÃO SUBJETIVA</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1"/>
        </w:numPr>
        <w:rPr>
          <w:rFonts w:cs="Arial"/>
          <w:lang w:eastAsia="en-US"/>
        </w:rPr>
      </w:pPr>
      <w:commentRangeStart w:id="20"/>
      <w:r>
        <w:rPr>
          <w:rFonts w:cs="Arial"/>
          <w:lang w:eastAsia="en-US"/>
        </w:rPr>
        <w:t xml:space="preserve">CONTROLE E FISCALIZAÇÃO DA EXECUÇÃO </w:t>
      </w:r>
      <w:commentRangeEnd w:id="20"/>
      <w:r>
        <w:commentReference w:id="20"/>
      </w:r>
      <w:r>
        <w:rPr>
          <w:rFonts w:cs="Arial"/>
          <w:lang w:eastAsia="en-US"/>
        </w:rPr>
      </w:r>
    </w:p>
    <w:p>
      <w:pPr>
        <w:pStyle w:val="Normal"/>
        <w:spacing w:lineRule="auto" w:line="276" w:before="120" w:after="120"/>
        <w:ind w:left="425" w:hanging="0"/>
        <w:jc w:val="both"/>
        <w:rPr>
          <w:rFonts w:cs="Arial"/>
          <w:szCs w:val="20"/>
          <w:lang w:eastAsia="en-US"/>
        </w:rPr>
      </w:pPr>
      <w:r>
        <w:rPr>
          <w:rFonts w:cs="Arial"/>
          <w:szCs w:val="20"/>
          <w:lang w:eastAsia="en-US"/>
        </w:rPr>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O representante da Contratante deverá ter a qualificação necessária para o acompanhamento e controle da execução dos serviços e do contrato.</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A verificação da adequação da prestação do serviço deverá ser realizada com base nos critérios previstos neste Termo de Referência.</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numPr>
          <w:ilvl w:val="1"/>
          <w:numId w:val="1"/>
        </w:numPr>
        <w:spacing w:lineRule="auto" w:line="276" w:before="120" w:after="120"/>
        <w:ind w:left="425" w:hanging="0"/>
        <w:jc w:val="both"/>
        <w:rPr>
          <w:rFonts w:cs="Arial"/>
          <w:szCs w:val="20"/>
        </w:rPr>
      </w:pPr>
      <w:r>
        <w:rPr>
          <w:rFonts w:cs="Arial"/>
          <w:szCs w:val="20"/>
        </w:rPr>
        <w:t xml:space="preserve">A fiscalização técnica dos contratos avaliará constantemente a execução do objeto e utilizará </w:t>
      </w:r>
      <w:commentRangeStart w:id="21"/>
      <w:r>
        <w:rPr>
          <w:rFonts w:cs="Arial"/>
          <w:i/>
          <w:color w:val="FF0000"/>
          <w:szCs w:val="20"/>
        </w:rPr>
        <w:t xml:space="preserve">o Instrumento de </w:t>
      </w:r>
      <w:r>
        <w:rPr>
          <w:rFonts w:cs="Arial"/>
          <w:i/>
          <w:color w:val="FF0000"/>
          <w:szCs w:val="20"/>
          <w:lang w:eastAsia="en-US"/>
        </w:rPr>
        <w:t>Medição</w:t>
      </w:r>
      <w:r>
        <w:rPr>
          <w:rFonts w:cs="Arial"/>
          <w:i/>
          <w:color w:val="FF0000"/>
          <w:szCs w:val="20"/>
        </w:rPr>
        <w:t xml:space="preserve"> de Resultado (IMR), conforme modelo previsto no Anexo XXX, ou outro instrumento substituto para aferição da qualidade da prestação dos serviços</w:t>
      </w:r>
      <w:r>
        <w:rPr>
          <w:rFonts w:cs="Arial"/>
          <w:i/>
          <w:color w:val="FF0000"/>
          <w:szCs w:val="20"/>
        </w:rPr>
      </w:r>
      <w:commentRangeEnd w:id="21"/>
      <w:r>
        <w:commentReference w:id="21"/>
      </w:r>
      <w:r>
        <w:rPr>
          <w:rFonts w:cs="Arial"/>
          <w:szCs w:val="20"/>
        </w:rPr>
        <w:t>,</w:t>
      </w:r>
      <w:permStart w:id="1244683438" w:edGrp="everyone"/>
      <w:r>
        <w:rPr>
          <w:rFonts w:cs="Arial"/>
          <w:szCs w:val="20"/>
        </w:rPr>
        <w:t xml:space="preserve"> devendo haver o redimensionamento no pagamento com base nos indicadores estabelecidos, sempre que a CONTRATADA:</w:t>
      </w:r>
      <w:permEnd w:id="1244683438"/>
    </w:p>
    <w:p>
      <w:pPr>
        <w:pStyle w:val="Normal"/>
        <w:spacing w:lineRule="auto" w:line="276" w:before="120" w:after="120"/>
        <w:ind w:left="1416" w:hanging="0"/>
        <w:jc w:val="both"/>
        <w:rPr>
          <w:rFonts w:cs="Arial"/>
          <w:szCs w:val="20"/>
        </w:rPr>
      </w:pPr>
      <w:r>
        <w:rPr>
          <w:rFonts w:cs="Arial"/>
          <w:szCs w:val="20"/>
        </w:rPr>
        <w:t>a) não produzir os resultados, deixar de executar, ou não executar com a qualidade mínima exigida as atividades contratadas; ou</w:t>
      </w:r>
    </w:p>
    <w:p>
      <w:pPr>
        <w:pStyle w:val="Normal"/>
        <w:spacing w:lineRule="auto" w:line="276" w:before="120" w:after="120"/>
        <w:ind w:left="1416" w:hanging="0"/>
        <w:jc w:val="both"/>
        <w:rPr>
          <w:rFonts w:cs="Arial"/>
          <w:szCs w:val="20"/>
        </w:rPr>
      </w:pPr>
      <w:r>
        <w:rPr>
          <w:rFonts w:cs="Arial"/>
          <w:szCs w:val="20"/>
        </w:rPr>
        <w:t>b) deixar de utilizar materiais e recursos humanos exigidos para a execução do serviço, ou utilizá-los com qualidade ou quantidade inferior à demandada.</w:t>
      </w:r>
    </w:p>
    <w:p>
      <w:pPr>
        <w:pStyle w:val="Normal"/>
        <w:numPr>
          <w:ilvl w:val="2"/>
          <w:numId w:val="1"/>
        </w:numPr>
        <w:spacing w:lineRule="auto" w:line="276" w:before="120" w:after="120"/>
        <w:jc w:val="both"/>
        <w:rPr>
          <w:rFonts w:cs="Arial"/>
          <w:szCs w:val="20"/>
        </w:rPr>
      </w:pPr>
      <w:r>
        <w:rPr>
          <w:rFonts w:cs="Arial"/>
          <w:szCs w:val="20"/>
        </w:rPr>
        <w:t xml:space="preserve">A </w:t>
      </w:r>
      <w:r>
        <w:rPr>
          <w:rFonts w:cs="Arial"/>
          <w:szCs w:val="20"/>
          <w:lang w:eastAsia="en-US"/>
        </w:rPr>
        <w:t>utilização</w:t>
      </w:r>
      <w:r>
        <w:rPr>
          <w:rFonts w:cs="Arial"/>
          <w:szCs w:val="20"/>
        </w:rPr>
        <w:t xml:space="preserve"> do IMR não impede a aplicação concomitante de outros mecanismos para a avaliação da prestação dos serviços.</w:t>
      </w:r>
    </w:p>
    <w:p>
      <w:pPr>
        <w:pStyle w:val="Normal"/>
        <w:numPr>
          <w:ilvl w:val="1"/>
          <w:numId w:val="1"/>
        </w:numPr>
        <w:spacing w:lineRule="auto" w:line="276" w:before="120" w:after="120"/>
        <w:ind w:left="425" w:hanging="0"/>
        <w:jc w:val="both"/>
        <w:rPr>
          <w:rFonts w:cs="Arial"/>
          <w:szCs w:val="20"/>
        </w:rPr>
      </w:pPr>
      <w:r>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pPr>
        <w:pStyle w:val="Normal"/>
        <w:numPr>
          <w:ilvl w:val="1"/>
          <w:numId w:val="1"/>
        </w:numPr>
        <w:spacing w:lineRule="auto" w:line="276" w:before="120" w:after="120"/>
        <w:ind w:left="425" w:hanging="0"/>
        <w:jc w:val="both"/>
        <w:rPr>
          <w:rFonts w:cs="Arial"/>
          <w:szCs w:val="20"/>
        </w:rPr>
      </w:pPr>
      <w:r>
        <w:rPr>
          <w:rFonts w:cs="Arial"/>
          <w:szCs w:val="20"/>
        </w:rPr>
        <w:t xml:space="preserve">O fiscal técnico deverá apresentar ao preposto da CONTRATADA a avaliação da execução do objeto ou, se for o caso, a avaliação de desempenho e qualidade da prestação dos serviços realizada. </w:t>
      </w:r>
    </w:p>
    <w:p>
      <w:pPr>
        <w:pStyle w:val="Normal"/>
        <w:numPr>
          <w:ilvl w:val="1"/>
          <w:numId w:val="1"/>
        </w:numPr>
        <w:spacing w:lineRule="auto" w:line="276" w:before="120" w:after="120"/>
        <w:ind w:left="425" w:hanging="0"/>
        <w:jc w:val="both"/>
        <w:rPr>
          <w:rFonts w:cs="Arial"/>
          <w:szCs w:val="20"/>
        </w:rPr>
      </w:pPr>
      <w:r>
        <w:rPr>
          <w:rFonts w:cs="Arial"/>
          <w:szCs w:val="20"/>
        </w:rPr>
        <w:t xml:space="preserve">Em hipótese alguma, será admitido que a própria CONTRATADA materialize a avaliação de desempenho e qualidade da prestação dos serviços realizada. </w:t>
      </w:r>
    </w:p>
    <w:p>
      <w:pPr>
        <w:pStyle w:val="Normal"/>
        <w:numPr>
          <w:ilvl w:val="1"/>
          <w:numId w:val="1"/>
        </w:numPr>
        <w:spacing w:lineRule="auto" w:line="276" w:before="120" w:after="120"/>
        <w:ind w:left="425" w:hanging="0"/>
        <w:jc w:val="both"/>
        <w:rPr>
          <w:rFonts w:cs="Arial"/>
          <w:szCs w:val="20"/>
        </w:rPr>
      </w:pPr>
      <w:r>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Normal"/>
        <w:numPr>
          <w:ilvl w:val="1"/>
          <w:numId w:val="1"/>
        </w:numPr>
        <w:spacing w:lineRule="auto" w:line="276" w:before="120" w:after="120"/>
        <w:ind w:left="425" w:hanging="0"/>
        <w:jc w:val="both"/>
        <w:rPr>
          <w:rFonts w:cs="Arial"/>
          <w:szCs w:val="20"/>
        </w:rPr>
      </w:pPr>
      <w:r>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pPr>
        <w:pStyle w:val="Normal"/>
        <w:numPr>
          <w:ilvl w:val="1"/>
          <w:numId w:val="1"/>
        </w:numPr>
        <w:spacing w:lineRule="auto" w:line="276" w:before="120" w:after="120"/>
        <w:ind w:left="425" w:hanging="0"/>
        <w:jc w:val="both"/>
        <w:rPr>
          <w:rFonts w:cs="Arial"/>
          <w:szCs w:val="20"/>
        </w:rPr>
      </w:pPr>
      <w:r>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pPr>
        <w:pStyle w:val="Normal"/>
        <w:numPr>
          <w:ilvl w:val="1"/>
          <w:numId w:val="1"/>
        </w:numPr>
        <w:spacing w:lineRule="auto" w:line="276" w:before="120" w:after="120"/>
        <w:ind w:left="425" w:hanging="0"/>
        <w:jc w:val="both"/>
        <w:rPr>
          <w:rFonts w:cs="Arial"/>
          <w:szCs w:val="20"/>
        </w:rPr>
      </w:pPr>
      <w:r>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pPr>
        <w:pStyle w:val="Normal"/>
        <w:numPr>
          <w:ilvl w:val="1"/>
          <w:numId w:val="1"/>
        </w:numPr>
        <w:spacing w:lineRule="auto" w:line="276" w:before="120" w:after="120"/>
        <w:ind w:left="425" w:hanging="0"/>
        <w:jc w:val="both"/>
        <w:rPr>
          <w:rFonts w:cs="Arial"/>
          <w:i/>
          <w:i/>
          <w:color w:val="FF0000"/>
          <w:szCs w:val="20"/>
          <w:lang w:eastAsia="en-US"/>
        </w:rPr>
      </w:pPr>
      <w:commentRangeStart w:id="22"/>
      <w:r>
        <w:rPr>
          <w:rFonts w:cs="Arial"/>
          <w:i/>
          <w:color w:val="FF0000"/>
          <w:szCs w:val="20"/>
          <w:lang w:eastAsia="en-US"/>
        </w:rPr>
        <w:t xml:space="preserve">A </w:t>
      </w:r>
      <w:r>
        <w:rPr>
          <w:rFonts w:cs="Arial"/>
          <w:i/>
          <w:color w:val="FF0000"/>
          <w:szCs w:val="20"/>
        </w:rPr>
        <w:t>fiscalização</w:t>
      </w:r>
      <w:r>
        <w:rPr>
          <w:rFonts w:cs="Arial"/>
          <w:i/>
          <w:color w:val="FF0000"/>
          <w:szCs w:val="20"/>
          <w:lang w:eastAsia="en-US"/>
        </w:rPr>
        <w:t xml:space="preserve"> da execução dos serviços abrange, ainda, as seguintes rotinas:</w:t>
      </w:r>
    </w:p>
    <w:p>
      <w:pPr>
        <w:pStyle w:val="Normal"/>
        <w:numPr>
          <w:ilvl w:val="2"/>
          <w:numId w:val="1"/>
        </w:numPr>
        <w:spacing w:lineRule="auto" w:line="276" w:before="120" w:after="120"/>
        <w:jc w:val="both"/>
        <w:rPr>
          <w:rFonts w:cs="Arial"/>
          <w:i/>
          <w:i/>
          <w:color w:val="FF0000"/>
          <w:szCs w:val="20"/>
          <w:lang w:eastAsia="en-US"/>
        </w:rPr>
      </w:pPr>
      <w:r>
        <w:rPr>
          <w:rFonts w:cs="Arial"/>
          <w:i/>
          <w:color w:val="FF0000"/>
          <w:szCs w:val="20"/>
          <w:lang w:eastAsia="en-US"/>
        </w:rPr>
        <w:t>.....;</w:t>
      </w:r>
    </w:p>
    <w:p>
      <w:pPr>
        <w:pStyle w:val="Normal"/>
        <w:numPr>
          <w:ilvl w:val="2"/>
          <w:numId w:val="1"/>
        </w:numPr>
        <w:spacing w:lineRule="auto" w:line="276" w:before="120" w:after="120"/>
        <w:jc w:val="both"/>
        <w:rPr>
          <w:rFonts w:cs="Arial"/>
          <w:i/>
          <w:i/>
          <w:color w:val="FF0000"/>
          <w:szCs w:val="20"/>
          <w:lang w:eastAsia="en-US"/>
        </w:rPr>
      </w:pPr>
      <w:r>
        <w:rPr>
          <w:rFonts w:cs="Arial"/>
          <w:i/>
          <w:color w:val="FF0000"/>
          <w:szCs w:val="20"/>
          <w:lang w:eastAsia="en-US"/>
        </w:rPr>
        <w:t>.....;</w:t>
      </w:r>
    </w:p>
    <w:p>
      <w:pPr>
        <w:pStyle w:val="Normal"/>
        <w:numPr>
          <w:ilvl w:val="2"/>
          <w:numId w:val="1"/>
        </w:numPr>
        <w:spacing w:lineRule="auto" w:line="276" w:before="120" w:after="120"/>
        <w:jc w:val="both"/>
        <w:rPr>
          <w:rFonts w:cs="Arial"/>
          <w:i/>
          <w:i/>
          <w:color w:val="FF0000"/>
          <w:szCs w:val="20"/>
          <w:lang w:eastAsia="en-US"/>
        </w:rPr>
      </w:pPr>
      <w:r>
        <w:rPr>
          <w:rFonts w:cs="Arial"/>
          <w:i/>
          <w:color w:val="FF0000"/>
          <w:szCs w:val="20"/>
          <w:lang w:eastAsia="en-US"/>
        </w:rPr>
        <w:t>(etc.)</w:t>
      </w:r>
      <w:permStart w:id="1864323340" w:edGrp="everyone"/>
      <w:commentRangeEnd w:id="22"/>
      <w:r>
        <w:commentReference w:id="22"/>
      </w:r>
      <w:r>
        <w:rPr>
          <w:rFonts w:cs="Arial"/>
          <w:i/>
          <w:color w:val="FF0000"/>
          <w:szCs w:val="20"/>
          <w:lang w:eastAsia="en-US"/>
        </w:rPr>
      </w:r>
      <w:permEnd w:id="1864323340"/>
    </w:p>
    <w:p>
      <w:pPr>
        <w:pStyle w:val="ListParagraph"/>
        <w:numPr>
          <w:ilvl w:val="1"/>
          <w:numId w:val="1"/>
        </w:numPr>
        <w:spacing w:lineRule="auto" w:line="276" w:before="120" w:after="120"/>
        <w:ind w:left="425" w:hanging="0"/>
        <w:contextualSpacing/>
        <w:jc w:val="both"/>
        <w:rPr>
          <w:rFonts w:cs="Arial"/>
          <w:szCs w:val="20"/>
        </w:rPr>
      </w:pPr>
      <w:r>
        <w:rPr>
          <w:rFonts w:cs="Arial"/>
          <w:szCs w:val="20"/>
        </w:rPr>
        <w:t>As disposições previstas nesta cláusula não excluem o disposto no Anexo VIII da Instrução Normativa SLTI/MP nº 05, de 2017, aplicável no que for pertinente à contratação.</w:t>
      </w:r>
    </w:p>
    <w:p>
      <w:pPr>
        <w:pStyle w:val="Normal"/>
        <w:numPr>
          <w:ilvl w:val="1"/>
          <w:numId w:val="1"/>
        </w:numPr>
        <w:spacing w:lineRule="auto" w:line="276" w:before="120" w:after="120"/>
        <w:ind w:left="425" w:hanging="0"/>
        <w:jc w:val="both"/>
        <w:rPr>
          <w:rFonts w:cs="Arial"/>
          <w:szCs w:val="20"/>
        </w:rPr>
      </w:pPr>
      <w:r>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Nivel1"/>
        <w:numPr>
          <w:ilvl w:val="0"/>
          <w:numId w:val="1"/>
        </w:numPr>
        <w:rPr>
          <w:rFonts w:cs="Arial"/>
          <w:lang w:eastAsia="en-US"/>
        </w:rPr>
      </w:pPr>
      <w:r>
        <w:rPr>
          <w:rFonts w:cs="Arial"/>
          <w:color w:val="auto"/>
        </w:rPr>
        <w:t xml:space="preserve">DO RECEBIMENTO E ACEITAÇÃO DO OBJETO  </w:t>
      </w:r>
    </w:p>
    <w:p>
      <w:pPr>
        <w:pStyle w:val="Normal"/>
        <w:numPr>
          <w:ilvl w:val="1"/>
          <w:numId w:val="1"/>
        </w:numPr>
        <w:spacing w:lineRule="auto" w:line="276" w:before="120" w:after="120"/>
        <w:ind w:left="425" w:hanging="0"/>
        <w:jc w:val="both"/>
        <w:rPr>
          <w:rFonts w:cs="Arial"/>
          <w:color w:val="000000" w:themeColor="text1"/>
          <w:szCs w:val="20"/>
          <w:lang w:eastAsia="en-US"/>
        </w:rPr>
      </w:pPr>
      <w:r>
        <w:rPr>
          <w:rFonts w:cs="Arial"/>
          <w:iCs/>
          <w:szCs w:val="20"/>
        </w:rPr>
        <w:t xml:space="preserve">A emissão da Nota Fiscal/Fatura deve ser precedida do recebimento definitivo dos serviços, nos termos abaixo. </w:t>
      </w:r>
    </w:p>
    <w:p>
      <w:pPr>
        <w:pStyle w:val="Normal"/>
        <w:numPr>
          <w:ilvl w:val="1"/>
          <w:numId w:val="1"/>
        </w:numPr>
        <w:spacing w:lineRule="auto" w:line="276" w:before="120" w:after="120"/>
        <w:ind w:left="425" w:hanging="0"/>
        <w:jc w:val="both"/>
        <w:rPr>
          <w:rFonts w:cs="Arial"/>
          <w:color w:val="000000" w:themeColor="text1"/>
          <w:szCs w:val="20"/>
          <w:lang w:eastAsia="en-US"/>
        </w:rPr>
      </w:pPr>
      <w:r>
        <w:rPr>
          <w:rFonts w:cs="Arial"/>
          <w:iCs/>
          <w:szCs w:val="20"/>
        </w:rPr>
        <w:t>No</w:t>
      </w:r>
      <w:r>
        <w:rPr>
          <w:rFonts w:cs="Arial"/>
          <w:color w:val="000000"/>
          <w:szCs w:val="20"/>
          <w:lang w:eastAsia="en-US"/>
        </w:rPr>
        <w:t xml:space="preserve"> prazo de até </w:t>
      </w:r>
      <w:commentRangeStart w:id="23"/>
      <w:r>
        <w:rPr>
          <w:rFonts w:cs="Arial"/>
          <w:i/>
          <w:color w:val="FF0000"/>
          <w:szCs w:val="20"/>
          <w:lang w:eastAsia="en-US"/>
        </w:rPr>
        <w:t>5 dias corridos</w:t>
      </w:r>
      <w:r>
        <w:rPr>
          <w:rFonts w:cs="Arial"/>
          <w:color w:val="FF0000"/>
          <w:szCs w:val="20"/>
          <w:lang w:eastAsia="en-US"/>
        </w:rPr>
        <w:t xml:space="preserve"> </w:t>
      </w:r>
      <w:permStart w:id="1696819906" w:edGrp="everyone"/>
      <w:r>
        <w:rPr>
          <w:rFonts w:cs="Arial"/>
          <w:color w:val="FF0000"/>
          <w:szCs w:val="20"/>
          <w:lang w:eastAsia="en-US"/>
        </w:rPr>
      </w:r>
      <w:permEnd w:id="1696819906"/>
      <w:commentRangeEnd w:id="23"/>
      <w:r>
        <w:commentReference w:id="23"/>
      </w:r>
      <w:r>
        <w:rPr>
          <w:rFonts w:cs="Arial"/>
          <w:color w:val="000000"/>
          <w:szCs w:val="20"/>
          <w:lang w:eastAsia="en-US"/>
        </w:rPr>
        <w:t xml:space="preserve">do adimplemento da parcela, a CONTRATADA deverá entregar toda a documentação comprobatória do cumprimento da obrigação contratual;  </w:t>
      </w:r>
    </w:p>
    <w:p>
      <w:pPr>
        <w:pStyle w:val="Normal"/>
        <w:numPr>
          <w:ilvl w:val="1"/>
          <w:numId w:val="1"/>
        </w:numPr>
        <w:spacing w:lineRule="auto" w:line="276" w:before="120" w:after="120"/>
        <w:ind w:left="425" w:hanging="0"/>
        <w:jc w:val="both"/>
        <w:rPr>
          <w:rFonts w:cs="Arial"/>
          <w:color w:val="000000" w:themeColor="text1"/>
          <w:szCs w:val="20"/>
          <w:lang w:eastAsia="en-US"/>
        </w:rPr>
      </w:pPr>
      <w:r>
        <w:rPr>
          <w:rFonts w:cs="Arial"/>
          <w:szCs w:val="20"/>
        </w:rPr>
        <w:t>O recebimento provisório será realizado pelo fiscal técnico e setorial ou pela equipe de fiscalização após a entrega da documentação acima, da seguinte forma:</w:t>
      </w:r>
    </w:p>
    <w:p>
      <w:pPr>
        <w:pStyle w:val="Normal"/>
        <w:numPr>
          <w:ilvl w:val="2"/>
          <w:numId w:val="1"/>
        </w:numPr>
        <w:spacing w:lineRule="auto" w:line="276" w:before="120" w:after="120"/>
        <w:jc w:val="both"/>
        <w:rPr>
          <w:rFonts w:cs="Arial"/>
          <w:color w:val="000000" w:themeColor="text1"/>
          <w:szCs w:val="20"/>
          <w:lang w:eastAsia="en-US"/>
        </w:rPr>
      </w:pPr>
      <w:r>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pPr>
        <w:pStyle w:val="Normal"/>
        <w:numPr>
          <w:ilvl w:val="3"/>
          <w:numId w:val="1"/>
        </w:numPr>
        <w:spacing w:lineRule="auto" w:line="276" w:before="120" w:after="120"/>
        <w:jc w:val="both"/>
        <w:rPr>
          <w:rFonts w:cs="Arial"/>
          <w:color w:val="000000" w:themeColor="text1"/>
          <w:szCs w:val="20"/>
          <w:lang w:eastAsia="en-US"/>
        </w:rPr>
      </w:pPr>
      <w:r>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pPr>
        <w:pStyle w:val="Normal"/>
        <w:numPr>
          <w:ilvl w:val="3"/>
          <w:numId w:val="1"/>
        </w:numPr>
        <w:spacing w:lineRule="auto" w:line="276" w:before="120" w:after="120"/>
        <w:jc w:val="both"/>
        <w:rPr>
          <w:rFonts w:cs="Arial"/>
          <w:color w:val="000000"/>
          <w:szCs w:val="20"/>
          <w:lang w:eastAsia="en-US"/>
        </w:rPr>
      </w:pPr>
      <w:r>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istParagraph"/>
        <w:numPr>
          <w:ilvl w:val="3"/>
          <w:numId w:val="1"/>
        </w:numPr>
        <w:spacing w:lineRule="auto" w:line="276" w:before="120" w:after="120"/>
        <w:contextualSpacing/>
        <w:jc w:val="both"/>
        <w:rPr>
          <w:rFonts w:cs="Arial"/>
          <w:color w:val="000000"/>
          <w:szCs w:val="20"/>
          <w:lang w:eastAsia="en-US"/>
        </w:rPr>
      </w:pPr>
      <w:r>
        <w:rPr>
          <w:rFonts w:cs="Arial"/>
          <w:color w:val="000000"/>
          <w:szCs w:val="20"/>
          <w:lang w:eastAsia="en-US"/>
        </w:rPr>
        <w:t>O recebimento provisório também ficará sujeito, quando cabível, à conclusão de todos os testes de campo e à entrega dos Manuais e Instruções exigíveis.</w:t>
      </w:r>
    </w:p>
    <w:p>
      <w:pPr>
        <w:pStyle w:val="Normal"/>
        <w:numPr>
          <w:ilvl w:val="2"/>
          <w:numId w:val="1"/>
        </w:numPr>
        <w:spacing w:lineRule="auto" w:line="276" w:before="120" w:after="120"/>
        <w:jc w:val="both"/>
        <w:rPr>
          <w:rFonts w:cs="Arial"/>
          <w:color w:val="000000" w:themeColor="text1"/>
          <w:szCs w:val="20"/>
          <w:lang w:eastAsia="en-US"/>
        </w:rPr>
      </w:pPr>
      <w:r>
        <w:rPr>
          <w:rFonts w:cs="Arial"/>
          <w:color w:val="000000"/>
          <w:szCs w:val="20"/>
          <w:lang w:eastAsia="en-US"/>
        </w:rPr>
        <w:t xml:space="preserve">No prazo de até </w:t>
      </w:r>
      <w:commentRangeStart w:id="24"/>
      <w:r>
        <w:rPr>
          <w:rFonts w:cs="Arial"/>
          <w:i/>
          <w:color w:val="FF0000"/>
          <w:szCs w:val="20"/>
          <w:lang w:eastAsia="en-US"/>
        </w:rPr>
        <w:t>10 dias corridos</w:t>
      </w:r>
      <w:r>
        <w:rPr>
          <w:rFonts w:cs="Arial"/>
          <w:color w:val="FF0000"/>
          <w:szCs w:val="20"/>
          <w:lang w:eastAsia="en-US"/>
        </w:rPr>
        <w:t xml:space="preserve"> </w:t>
      </w:r>
      <w:permStart w:id="974671364" w:edGrp="everyone"/>
      <w:r>
        <w:rPr>
          <w:rFonts w:cs="Arial"/>
          <w:color w:val="FF0000"/>
          <w:szCs w:val="20"/>
          <w:lang w:eastAsia="en-US"/>
        </w:rPr>
      </w:r>
      <w:permEnd w:id="974671364"/>
      <w:commentRangeEnd w:id="24"/>
      <w:r>
        <w:commentReference w:id="24"/>
      </w:r>
      <w:r>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pPr>
        <w:pStyle w:val="Normal"/>
        <w:numPr>
          <w:ilvl w:val="3"/>
          <w:numId w:val="1"/>
        </w:numPr>
        <w:spacing w:lineRule="auto" w:line="276" w:before="120" w:after="120"/>
        <w:jc w:val="both"/>
        <w:rPr>
          <w:rFonts w:cs="Arial"/>
          <w:color w:val="000000" w:themeColor="text1"/>
          <w:szCs w:val="20"/>
          <w:lang w:eastAsia="en-US"/>
        </w:rPr>
      </w:pPr>
      <w:r>
        <w:rPr>
          <w:rFonts w:cs="Arial"/>
          <w:szCs w:val="20"/>
        </w:rPr>
        <w:t xml:space="preserve">quando a fiscalização for exercida por um único servidor, o relatório circunstanciado </w:t>
      </w:r>
      <w:r>
        <w:rPr>
          <w:rFonts w:cs="Arial"/>
          <w:color w:val="000000"/>
          <w:szCs w:val="20"/>
          <w:lang w:eastAsia="en-US"/>
        </w:rPr>
        <w:t>deverá</w:t>
      </w:r>
      <w:r>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Normal"/>
        <w:numPr>
          <w:ilvl w:val="3"/>
          <w:numId w:val="1"/>
        </w:numPr>
        <w:spacing w:lineRule="auto" w:line="276" w:before="120" w:after="120"/>
        <w:jc w:val="both"/>
        <w:rPr>
          <w:rFonts w:cs="Arial"/>
          <w:color w:val="000000" w:themeColor="text1"/>
          <w:szCs w:val="20"/>
          <w:lang w:eastAsia="en-US"/>
        </w:rPr>
      </w:pPr>
      <w:r>
        <w:rPr>
          <w:rFonts w:cs="Arial"/>
          <w:szCs w:val="20"/>
        </w:rPr>
        <w:t xml:space="preserve">Será considerado como ocorrido o recebimento provisório com a entrega do relatório circunstanciado ou, em havendo mais de um a ser feito, com a entrega do último. </w:t>
      </w:r>
    </w:p>
    <w:p>
      <w:pPr>
        <w:pStyle w:val="ListParagraph"/>
        <w:numPr>
          <w:ilvl w:val="4"/>
          <w:numId w:val="1"/>
        </w:numPr>
        <w:spacing w:lineRule="auto" w:line="276" w:before="120" w:after="120"/>
        <w:contextualSpacing/>
        <w:jc w:val="both"/>
        <w:rPr>
          <w:rFonts w:cs="Arial"/>
          <w:color w:val="000000" w:themeColor="text1"/>
          <w:szCs w:val="20"/>
          <w:lang w:eastAsia="en-US"/>
        </w:rPr>
      </w:pPr>
      <w:r>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pPr>
        <w:pStyle w:val="Normal"/>
        <w:numPr>
          <w:ilvl w:val="1"/>
          <w:numId w:val="1"/>
        </w:numPr>
        <w:spacing w:lineRule="auto" w:line="276" w:before="120" w:after="120"/>
        <w:ind w:left="425" w:hanging="0"/>
        <w:jc w:val="both"/>
        <w:rPr>
          <w:rFonts w:cs="Arial"/>
          <w:color w:val="000000" w:themeColor="text1"/>
          <w:szCs w:val="20"/>
          <w:lang w:eastAsia="en-US"/>
        </w:rPr>
      </w:pPr>
      <w:r>
        <w:rPr>
          <w:rFonts w:cs="Arial"/>
          <w:color w:val="000000"/>
          <w:szCs w:val="20"/>
          <w:lang w:eastAsia="en-US"/>
        </w:rPr>
        <w:t xml:space="preserve">No </w:t>
      </w:r>
      <w:r>
        <w:rPr>
          <w:rFonts w:cs="Arial"/>
          <w:iCs/>
          <w:szCs w:val="20"/>
        </w:rPr>
        <w:t>prazo</w:t>
      </w:r>
      <w:r>
        <w:rPr>
          <w:rFonts w:cs="Arial"/>
          <w:color w:val="000000"/>
          <w:szCs w:val="20"/>
          <w:lang w:eastAsia="en-US"/>
        </w:rPr>
        <w:t xml:space="preserve"> de até </w:t>
      </w:r>
      <w:commentRangeStart w:id="25"/>
      <w:r>
        <w:rPr>
          <w:rFonts w:cs="Arial"/>
          <w:i/>
          <w:color w:val="FF0000"/>
          <w:szCs w:val="20"/>
          <w:lang w:eastAsia="en-US"/>
        </w:rPr>
        <w:t>10 (dez) dias corridos</w:t>
      </w:r>
      <w:r>
        <w:rPr>
          <w:rFonts w:cs="Arial"/>
          <w:color w:val="FF0000"/>
          <w:szCs w:val="20"/>
          <w:lang w:eastAsia="en-US"/>
        </w:rPr>
        <w:t xml:space="preserve"> </w:t>
      </w:r>
      <w:permStart w:id="470178048" w:edGrp="everyone"/>
      <w:r>
        <w:rPr>
          <w:rFonts w:cs="Arial"/>
          <w:color w:val="FF0000"/>
          <w:szCs w:val="20"/>
          <w:lang w:eastAsia="en-US"/>
        </w:rPr>
      </w:r>
      <w:permEnd w:id="470178048"/>
      <w:commentRangeEnd w:id="25"/>
      <w:r>
        <w:commentReference w:id="25"/>
      </w:r>
      <w:r>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pPr>
        <w:pStyle w:val="Normal"/>
        <w:numPr>
          <w:ilvl w:val="2"/>
          <w:numId w:val="1"/>
        </w:numPr>
        <w:spacing w:lineRule="auto" w:line="276" w:before="120" w:after="120"/>
        <w:jc w:val="both"/>
        <w:rPr>
          <w:rFonts w:cs="Arial"/>
          <w:color w:val="000000"/>
          <w:szCs w:val="20"/>
          <w:lang w:eastAsia="en-US"/>
        </w:rPr>
      </w:pPr>
      <w:r>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Normal"/>
        <w:numPr>
          <w:ilvl w:val="2"/>
          <w:numId w:val="1"/>
        </w:numPr>
        <w:spacing w:lineRule="auto" w:line="276" w:before="120" w:after="120"/>
        <w:jc w:val="both"/>
        <w:rPr>
          <w:rFonts w:cs="Arial"/>
          <w:color w:val="000000"/>
          <w:szCs w:val="20"/>
          <w:lang w:eastAsia="en-US"/>
        </w:rPr>
      </w:pPr>
      <w:r>
        <w:rPr>
          <w:rFonts w:cs="Arial"/>
          <w:color w:val="000000"/>
          <w:szCs w:val="20"/>
          <w:lang w:eastAsia="en-US"/>
        </w:rPr>
        <w:t xml:space="preserve">Emitir Termo Circunstanciado para efeito de recebimento definitivo dos serviços prestados, com base nos relatórios e documentações apresentadas; e </w:t>
      </w:r>
    </w:p>
    <w:p>
      <w:pPr>
        <w:pStyle w:val="Normal"/>
        <w:numPr>
          <w:ilvl w:val="2"/>
          <w:numId w:val="1"/>
        </w:numPr>
        <w:spacing w:lineRule="auto" w:line="276" w:before="120" w:after="120"/>
        <w:jc w:val="both"/>
        <w:rPr>
          <w:rFonts w:cs="Arial"/>
          <w:color w:val="000000"/>
          <w:szCs w:val="20"/>
          <w:lang w:eastAsia="en-US"/>
        </w:rPr>
      </w:pPr>
      <w:r>
        <w:rPr>
          <w:rFonts w:cs="Arial"/>
          <w:color w:val="000000"/>
          <w:szCs w:val="20"/>
          <w:lang w:eastAsia="en-US"/>
        </w:rPr>
        <w:t xml:space="preserve">Comunicar a empresa para que emita a Nota Fiscal ou Fatura, com o valor exato dimensionado pela fiscalização. </w:t>
      </w:r>
    </w:p>
    <w:p>
      <w:pPr>
        <w:pStyle w:val="Normal"/>
        <w:rPr>
          <w:rFonts w:cs="Arial"/>
          <w:szCs w:val="20"/>
          <w:lang w:val="x-none" w:eastAsia="en-US"/>
        </w:rPr>
      </w:pPr>
      <w:r>
        <w:rPr>
          <w:rFonts w:cs="Arial"/>
          <w:szCs w:val="20"/>
          <w:lang w:val="x-none" w:eastAsia="en-US"/>
        </w:rPr>
      </w:r>
    </w:p>
    <w:p>
      <w:pPr>
        <w:pStyle w:val="Normal"/>
        <w:numPr>
          <w:ilvl w:val="1"/>
          <w:numId w:val="1"/>
        </w:numPr>
        <w:spacing w:lineRule="auto" w:line="276" w:before="120" w:after="120"/>
        <w:ind w:left="425" w:hanging="0"/>
        <w:jc w:val="both"/>
        <w:rPr>
          <w:rFonts w:cs="Arial"/>
          <w:szCs w:val="20"/>
        </w:rPr>
      </w:pPr>
      <w:r>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Normal"/>
        <w:numPr>
          <w:ilvl w:val="1"/>
          <w:numId w:val="1"/>
        </w:numPr>
        <w:spacing w:lineRule="auto" w:line="276" w:before="120" w:after="120"/>
        <w:ind w:left="425" w:hanging="0"/>
        <w:jc w:val="both"/>
        <w:rPr>
          <w:rFonts w:cs="Arial"/>
          <w:szCs w:val="20"/>
        </w:rPr>
      </w:pPr>
      <w:r>
        <w:rPr>
          <w:rFonts w:cs="Arial"/>
          <w:szCs w:val="20"/>
        </w:rPr>
        <w:t xml:space="preserve">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w:t>
      </w:r>
      <w:commentRangeStart w:id="26"/>
      <w:r>
        <w:rPr>
          <w:rFonts w:cs="Arial"/>
          <w:szCs w:val="20"/>
        </w:rPr>
        <w:t>instrumento substituto</w:t>
      </w:r>
      <w:r>
        <w:rPr>
          <w:rFonts w:cs="Arial"/>
          <w:szCs w:val="20"/>
        </w:rPr>
      </w:r>
      <w:commentRangeEnd w:id="26"/>
      <w:r>
        <w:commentReference w:id="26"/>
      </w:r>
      <w:r>
        <w:rPr>
          <w:rFonts w:cs="Arial"/>
          <w:szCs w:val="20"/>
        </w:rPr>
        <w:t>.</w:t>
      </w:r>
    </w:p>
    <w:p>
      <w:pPr>
        <w:pStyle w:val="Normal"/>
        <w:numPr>
          <w:ilvl w:val="1"/>
          <w:numId w:val="1"/>
        </w:numPr>
        <w:spacing w:lineRule="auto" w:line="276" w:before="120" w:after="120"/>
        <w:ind w:left="425" w:hanging="0"/>
        <w:jc w:val="both"/>
        <w:rPr>
          <w:rFonts w:cs="Arial"/>
          <w:szCs w:val="20"/>
        </w:rPr>
      </w:pPr>
      <w:r>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ivel1"/>
        <w:numPr>
          <w:ilvl w:val="0"/>
          <w:numId w:val="1"/>
        </w:numPr>
        <w:rPr>
          <w:rFonts w:cs="Arial"/>
          <w:color w:val="auto"/>
        </w:rPr>
      </w:pPr>
      <w:r>
        <w:rPr>
          <w:rFonts w:cs="Arial"/>
          <w:color w:val="auto"/>
        </w:rPr>
        <w:t>DO PAGAMENTO</w:t>
      </w:r>
    </w:p>
    <w:p>
      <w:pPr>
        <w:pStyle w:val="Normal"/>
        <w:numPr>
          <w:ilvl w:val="1"/>
          <w:numId w:val="1"/>
        </w:numPr>
        <w:spacing w:lineRule="auto" w:line="276" w:before="120" w:after="120"/>
        <w:ind w:left="425" w:hanging="0"/>
        <w:jc w:val="both"/>
        <w:rPr>
          <w:rFonts w:eastAsia="Arial" w:cs="Arial"/>
          <w:szCs w:val="20"/>
        </w:rPr>
      </w:pPr>
      <w:r>
        <w:rPr>
          <w:rFonts w:cs="Arial"/>
          <w:color w:val="000000" w:themeColor="text1"/>
          <w:szCs w:val="20"/>
        </w:rPr>
        <w:t xml:space="preserve">O </w:t>
      </w:r>
      <w:r>
        <w:rPr>
          <w:rFonts w:cs="Arial"/>
          <w:szCs w:val="20"/>
        </w:rPr>
        <w:t>pagamento</w:t>
      </w:r>
      <w:r>
        <w:rPr>
          <w:rFonts w:cs="Arial"/>
          <w:color w:val="000000" w:themeColor="text1"/>
          <w:szCs w:val="20"/>
        </w:rPr>
        <w:t xml:space="preserve"> será efetuado pela Contratante no prazo de</w:t>
      </w:r>
      <w:r>
        <w:rPr>
          <w:rFonts w:eastAsia="Arial" w:cs="Arial"/>
          <w:color w:val="000000" w:themeColor="text1"/>
          <w:szCs w:val="20"/>
        </w:rPr>
        <w:t xml:space="preserve"> </w:t>
      </w:r>
      <w:commentRangeStart w:id="27"/>
      <w:r>
        <w:rPr>
          <w:rFonts w:eastAsia="Arial" w:cs="Arial"/>
          <w:color w:val="000000" w:themeColor="text1"/>
          <w:szCs w:val="20"/>
        </w:rPr>
        <w:t xml:space="preserve">..... (....) </w:t>
      </w:r>
      <w:r>
        <w:rPr>
          <w:rFonts w:cs="Arial"/>
          <w:color w:val="000000" w:themeColor="text1"/>
          <w:szCs w:val="20"/>
        </w:rPr>
        <w:t>dias</w:t>
      </w:r>
      <w:permStart w:id="411851605" w:edGrp="everyone"/>
      <w:r>
        <w:rPr>
          <w:rFonts w:cs="Arial"/>
          <w:color w:val="000000" w:themeColor="text1"/>
          <w:szCs w:val="20"/>
        </w:rPr>
      </w:r>
      <w:permEnd w:id="411851605"/>
      <w:commentRangeEnd w:id="27"/>
      <w:r>
        <w:commentReference w:id="27"/>
      </w:r>
      <w:r>
        <w:rPr>
          <w:rFonts w:cs="Arial"/>
          <w:color w:val="000000" w:themeColor="text1"/>
          <w:szCs w:val="20"/>
        </w:rPr>
        <w:t xml:space="preserve">, contados do recebimento da Nota Fiscal/Fatura. </w:t>
      </w:r>
    </w:p>
    <w:p>
      <w:pPr>
        <w:pStyle w:val="Normal"/>
        <w:numPr>
          <w:ilvl w:val="2"/>
          <w:numId w:val="1"/>
        </w:numPr>
        <w:spacing w:lineRule="auto" w:line="276" w:before="120" w:after="120"/>
        <w:jc w:val="both"/>
        <w:rPr>
          <w:rFonts w:cs="Arial"/>
          <w:szCs w:val="20"/>
        </w:rPr>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pPr>
        <w:pStyle w:val="Normal"/>
        <w:numPr>
          <w:ilvl w:val="1"/>
          <w:numId w:val="1"/>
        </w:numPr>
        <w:spacing w:lineRule="auto" w:line="276" w:before="120" w:after="120"/>
        <w:ind w:left="425" w:hanging="0"/>
        <w:jc w:val="both"/>
        <w:rPr>
          <w:rFonts w:cs="Arial"/>
          <w:szCs w:val="20"/>
        </w:rPr>
      </w:pPr>
      <w:r>
        <w:rPr>
          <w:rFonts w:cs="Arial"/>
          <w:iCs/>
          <w:szCs w:val="20"/>
        </w:rPr>
        <w:t>A emissão da Nota Fiscal/Fatura será precedida do recebimento definitivo do serviço, conforme este Termo de Referência</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 xml:space="preserve">A Nota Fiscal ou Fatura deverá ser obrigatoriamente acompanhada da comprovação da regularidade fiscal, constatada por meio de consulta on-line ao SICAF ou, na impossibilidade de acesso </w:t>
      </w:r>
      <w:r>
        <w:rPr>
          <w:rFonts w:cs="Arial"/>
          <w:color w:val="000000"/>
          <w:szCs w:val="20"/>
          <w:lang w:eastAsia="en-US"/>
        </w:rPr>
        <w:t>ao</w:t>
      </w:r>
      <w:r>
        <w:rPr>
          <w:rFonts w:cs="Arial"/>
          <w:color w:val="000000"/>
          <w:szCs w:val="20"/>
        </w:rPr>
        <w:t xml:space="preserve"> referido Sistema, mediante consulta aos sítios eletrônicos oficiais ou à documentação mencionada no art. 29 da Lei nº 8.666, de 1993. </w:t>
      </w:r>
    </w:p>
    <w:p>
      <w:pPr>
        <w:pStyle w:val="Normal"/>
        <w:numPr>
          <w:ilvl w:val="2"/>
          <w:numId w:val="1"/>
        </w:numPr>
        <w:spacing w:lineRule="auto" w:line="276" w:before="120" w:after="120"/>
        <w:jc w:val="both"/>
        <w:rPr>
          <w:rFonts w:cs="Arial"/>
          <w:color w:val="000000"/>
          <w:szCs w:val="20"/>
        </w:rPr>
      </w:pPr>
      <w:r>
        <w:rPr>
          <w:rFonts w:cs="Arial"/>
          <w:color w:val="000000"/>
          <w:szCs w:val="20"/>
        </w:rPr>
        <w:t xml:space="preserve">Constatando-se, junto ao SICAF, a situação de irregularidade do fornecedor contratado, deverão ser tomadas as providências previstas no do art. 31 da Instrução </w:t>
      </w:r>
      <w:r>
        <w:rPr>
          <w:rFonts w:cs="Arial"/>
          <w:color w:val="000000"/>
          <w:szCs w:val="20"/>
          <w:lang w:eastAsia="en-US"/>
        </w:rPr>
        <w:t>Normativa</w:t>
      </w:r>
      <w:r>
        <w:rPr>
          <w:rFonts w:cs="Arial"/>
          <w:color w:val="000000"/>
          <w:szCs w:val="20"/>
        </w:rPr>
        <w:t xml:space="preserve"> nº 3, de 26 de abril de 2018.</w:t>
      </w:r>
    </w:p>
    <w:p>
      <w:pPr>
        <w:pStyle w:val="Normal"/>
        <w:numPr>
          <w:ilvl w:val="1"/>
          <w:numId w:val="1"/>
        </w:numPr>
        <w:spacing w:lineRule="auto" w:line="276" w:before="120" w:after="120"/>
        <w:ind w:left="425" w:hanging="0"/>
        <w:jc w:val="both"/>
        <w:rPr>
          <w:rFonts w:cs="Arial"/>
          <w:color w:val="000000" w:themeColor="text1"/>
          <w:szCs w:val="20"/>
        </w:rPr>
      </w:pPr>
      <w:r>
        <w:rPr>
          <w:rFonts w:cs="Arial"/>
          <w:color w:val="000000"/>
          <w:szCs w:val="20"/>
        </w:rPr>
        <w:t xml:space="preserve">O setor competente para proceder o pagamento deve verificar se a Nota Fiscal ou Fatura apresentada expressa os elementos necessários e essenciais do documento, tais como: </w:t>
      </w:r>
    </w:p>
    <w:p>
      <w:pPr>
        <w:pStyle w:val="Normal"/>
        <w:numPr>
          <w:ilvl w:val="2"/>
          <w:numId w:val="1"/>
        </w:numPr>
        <w:spacing w:lineRule="auto" w:line="276" w:before="120" w:after="120"/>
        <w:jc w:val="both"/>
        <w:rPr>
          <w:rFonts w:cs="Arial"/>
          <w:color w:val="000000"/>
          <w:szCs w:val="20"/>
        </w:rPr>
      </w:pPr>
      <w:r>
        <w:rPr>
          <w:rFonts w:cs="Arial"/>
          <w:color w:val="000000"/>
          <w:szCs w:val="20"/>
        </w:rPr>
        <w:t xml:space="preserve">o prazo de validade; </w:t>
      </w:r>
    </w:p>
    <w:p>
      <w:pPr>
        <w:pStyle w:val="Normal"/>
        <w:numPr>
          <w:ilvl w:val="2"/>
          <w:numId w:val="1"/>
        </w:numPr>
        <w:spacing w:lineRule="auto" w:line="276" w:before="120" w:after="120"/>
        <w:jc w:val="both"/>
        <w:rPr>
          <w:rFonts w:cs="Arial"/>
          <w:color w:val="000000"/>
          <w:szCs w:val="20"/>
        </w:rPr>
      </w:pPr>
      <w:r>
        <w:rPr>
          <w:rFonts w:cs="Arial"/>
          <w:color w:val="000000"/>
          <w:szCs w:val="20"/>
        </w:rPr>
        <w:t xml:space="preserve">a data da emissão; </w:t>
      </w:r>
    </w:p>
    <w:p>
      <w:pPr>
        <w:pStyle w:val="Normal"/>
        <w:numPr>
          <w:ilvl w:val="2"/>
          <w:numId w:val="1"/>
        </w:numPr>
        <w:spacing w:lineRule="auto" w:line="276" w:before="120" w:after="120"/>
        <w:jc w:val="both"/>
        <w:rPr>
          <w:rFonts w:cs="Arial"/>
          <w:color w:val="000000"/>
          <w:szCs w:val="20"/>
        </w:rPr>
      </w:pPr>
      <w:r>
        <w:rPr>
          <w:rFonts w:cs="Arial"/>
          <w:color w:val="000000"/>
          <w:szCs w:val="20"/>
        </w:rPr>
        <w:t xml:space="preserve">os dados do contrato e do órgão contratante; </w:t>
      </w:r>
    </w:p>
    <w:p>
      <w:pPr>
        <w:pStyle w:val="Normal"/>
        <w:numPr>
          <w:ilvl w:val="2"/>
          <w:numId w:val="1"/>
        </w:numPr>
        <w:spacing w:lineRule="auto" w:line="276" w:before="120" w:after="120"/>
        <w:jc w:val="both"/>
        <w:rPr>
          <w:rFonts w:cs="Arial"/>
          <w:color w:val="000000"/>
          <w:szCs w:val="20"/>
        </w:rPr>
      </w:pPr>
      <w:r>
        <w:rPr>
          <w:rFonts w:cs="Arial"/>
          <w:color w:val="000000"/>
          <w:szCs w:val="20"/>
        </w:rPr>
        <w:t xml:space="preserve">o período de prestação dos serviços; </w:t>
      </w:r>
    </w:p>
    <w:p>
      <w:pPr>
        <w:pStyle w:val="Normal"/>
        <w:numPr>
          <w:ilvl w:val="2"/>
          <w:numId w:val="1"/>
        </w:numPr>
        <w:spacing w:lineRule="auto" w:line="276" w:before="120" w:after="120"/>
        <w:jc w:val="both"/>
        <w:rPr>
          <w:rFonts w:cs="Arial"/>
          <w:color w:val="000000"/>
          <w:szCs w:val="20"/>
        </w:rPr>
      </w:pPr>
      <w:r>
        <w:rPr>
          <w:rFonts w:cs="Arial"/>
          <w:color w:val="000000"/>
          <w:szCs w:val="20"/>
        </w:rPr>
        <w:t xml:space="preserve">o valor a pagar; e </w:t>
      </w:r>
    </w:p>
    <w:p>
      <w:pPr>
        <w:pStyle w:val="Normal"/>
        <w:numPr>
          <w:ilvl w:val="2"/>
          <w:numId w:val="1"/>
        </w:numPr>
        <w:spacing w:lineRule="auto" w:line="276" w:before="120" w:after="120"/>
        <w:jc w:val="both"/>
        <w:rPr>
          <w:rFonts w:cs="Arial"/>
          <w:color w:val="000000"/>
          <w:szCs w:val="20"/>
        </w:rPr>
      </w:pPr>
      <w:r>
        <w:rPr>
          <w:rFonts w:cs="Arial"/>
          <w:color w:val="000000"/>
          <w:szCs w:val="20"/>
        </w:rPr>
        <w:t>eventual destaque do valor de retenções tributárias cabíveis.</w:t>
      </w:r>
    </w:p>
    <w:p>
      <w:pPr>
        <w:pStyle w:val="Normal"/>
        <w:numPr>
          <w:ilvl w:val="1"/>
          <w:numId w:val="1"/>
        </w:numPr>
        <w:spacing w:lineRule="auto" w:line="276" w:before="120" w:after="120"/>
        <w:ind w:left="425" w:hanging="0"/>
        <w:jc w:val="both"/>
        <w:rPr>
          <w:rFonts w:cs="Arial"/>
          <w:szCs w:val="20"/>
          <w:lang w:eastAsia="en-US"/>
        </w:rPr>
      </w:pPr>
      <w:r>
        <w:rPr>
          <w:rFonts w:cs="Arial"/>
          <w:iCs/>
          <w:szCs w:val="20"/>
        </w:rPr>
        <w:t xml:space="preserve">Havendo erro </w:t>
      </w:r>
      <w:r>
        <w:rPr>
          <w:rFonts w:cs="Arial"/>
          <w:color w:val="000000"/>
          <w:szCs w:val="20"/>
        </w:rPr>
        <w:t>na</w:t>
      </w:r>
      <w:r>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ind w:left="425" w:hanging="0"/>
        <w:jc w:val="both"/>
        <w:rPr>
          <w:rFonts w:cs="Arial"/>
          <w:szCs w:val="20"/>
          <w:lang w:eastAsia="en-US"/>
        </w:rPr>
      </w:pPr>
      <w:r>
        <w:rPr>
          <w:rFonts w:cs="Arial"/>
          <w:szCs w:val="20"/>
        </w:rPr>
        <w:t xml:space="preserve">Nos termos do item 1, do Anexo VIII-A da Instrução Normativa SEGES/MP nº 05, de 2017, será </w:t>
      </w:r>
      <w:r>
        <w:rPr>
          <w:rFonts w:cs="Arial"/>
          <w:color w:val="000000"/>
          <w:szCs w:val="20"/>
        </w:rPr>
        <w:t>efetuada</w:t>
      </w:r>
      <w:r>
        <w:rPr>
          <w:rFonts w:cs="Arial"/>
          <w:szCs w:val="20"/>
          <w:lang w:eastAsia="en-US"/>
        </w:rPr>
        <w:t xml:space="preserve"> a retenção ou glosa no pagamento, proporcional à irregularidade verificada, sem prejuízo das sanções cabíveis, caso se constate que a Contratada:</w:t>
      </w:r>
    </w:p>
    <w:p>
      <w:pPr>
        <w:pStyle w:val="Normal"/>
        <w:numPr>
          <w:ilvl w:val="2"/>
          <w:numId w:val="1"/>
        </w:numPr>
        <w:spacing w:lineRule="auto" w:line="276" w:before="120" w:after="120"/>
        <w:jc w:val="both"/>
        <w:rPr>
          <w:rFonts w:cs="Arial"/>
          <w:color w:val="000000"/>
          <w:szCs w:val="20"/>
        </w:rPr>
      </w:pPr>
      <w:r>
        <w:rPr>
          <w:rFonts w:cs="Arial"/>
          <w:color w:val="000000"/>
          <w:szCs w:val="20"/>
        </w:rPr>
        <w:t>não produziu os resultados acordados;</w:t>
      </w:r>
    </w:p>
    <w:p>
      <w:pPr>
        <w:pStyle w:val="Normal"/>
        <w:numPr>
          <w:ilvl w:val="2"/>
          <w:numId w:val="1"/>
        </w:numPr>
        <w:spacing w:lineRule="auto" w:line="276" w:before="120" w:after="120"/>
        <w:jc w:val="both"/>
        <w:rPr>
          <w:rFonts w:cs="Arial"/>
          <w:color w:val="000000"/>
          <w:szCs w:val="20"/>
        </w:rPr>
      </w:pPr>
      <w:r>
        <w:rPr>
          <w:rFonts w:cs="Arial"/>
          <w:color w:val="000000"/>
          <w:szCs w:val="20"/>
        </w:rPr>
        <w:t>deixou de executar as atividades contratadas, ou não as executou com a qualidade mínima exigida;</w:t>
      </w:r>
    </w:p>
    <w:p>
      <w:pPr>
        <w:pStyle w:val="Normal"/>
        <w:numPr>
          <w:ilvl w:val="2"/>
          <w:numId w:val="1"/>
        </w:numPr>
        <w:spacing w:lineRule="auto" w:line="276" w:before="120" w:after="120"/>
        <w:jc w:val="both"/>
        <w:rPr>
          <w:rFonts w:cs="Arial"/>
          <w:color w:val="000000"/>
          <w:szCs w:val="20"/>
        </w:rPr>
      </w:pPr>
      <w:r>
        <w:rPr>
          <w:rFonts w:cs="Arial"/>
          <w:color w:val="000000"/>
          <w:szCs w:val="20"/>
        </w:rPr>
        <w:t>deixou de utilizar os materiais e recursos humanos exigidos para a execução do serviço, ou utilizou-os com qualidade ou quantidade inferior à demandada.</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Será considerada data do pagamento o dia em que constar como emitida a ordem bancária para pagamento.</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2"/>
          <w:numId w:val="1"/>
        </w:numPr>
        <w:spacing w:lineRule="auto" w:line="276" w:before="120" w:after="120"/>
        <w:jc w:val="both"/>
        <w:rPr>
          <w:rFonts w:cs="Arial"/>
          <w:szCs w:val="20"/>
          <w:lang w:eastAsia="en-US"/>
        </w:rPr>
      </w:pPr>
      <w:r>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pPr>
        <w:pStyle w:val="Normal"/>
        <w:numPr>
          <w:ilvl w:val="1"/>
          <w:numId w:val="1"/>
        </w:numPr>
        <w:spacing w:lineRule="auto" w:line="276" w:before="120" w:after="120"/>
        <w:ind w:left="425" w:hanging="0"/>
        <w:jc w:val="both"/>
        <w:rPr>
          <w:rFonts w:cs="Arial"/>
          <w:szCs w:val="20"/>
          <w:lang w:eastAsia="en-US"/>
        </w:rPr>
      </w:pPr>
      <w:r>
        <w:rPr>
          <w:rFonts w:cs="Arial"/>
          <w:szCs w:val="20"/>
          <w:lang w:eastAsia="en-US"/>
        </w:rPr>
        <w:t xml:space="preserve">  </w:t>
      </w:r>
      <w:r>
        <w:rPr>
          <w:rFonts w:cs="Arial"/>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spacing w:lineRule="auto" w:line="276"/>
        <w:ind w:left="426" w:firstLine="708"/>
        <w:jc w:val="both"/>
        <w:rPr>
          <w:rFonts w:cs="Arial"/>
          <w:szCs w:val="20"/>
        </w:rPr>
      </w:pPr>
      <w:r>
        <w:rPr>
          <w:rFonts w:cs="Arial"/>
          <w:szCs w:val="20"/>
        </w:rPr>
        <w:t>EM = I x N x VP, sendo:</w:t>
      </w:r>
    </w:p>
    <w:p>
      <w:pPr>
        <w:pStyle w:val="Normal"/>
        <w:tabs>
          <w:tab w:val="clear" w:pos="708"/>
          <w:tab w:val="left" w:pos="1701" w:leader="none"/>
        </w:tabs>
        <w:spacing w:lineRule="auto" w:line="276"/>
        <w:ind w:firstLine="1134"/>
        <w:jc w:val="both"/>
        <w:rPr>
          <w:rFonts w:cs="Arial"/>
          <w:color w:val="000000"/>
          <w:szCs w:val="20"/>
        </w:rPr>
      </w:pPr>
      <w:r>
        <w:rPr>
          <w:rFonts w:cs="Arial"/>
          <w:color w:val="000000"/>
          <w:szCs w:val="20"/>
        </w:rPr>
        <w:t>EM = Encargos moratórios;</w:t>
      </w:r>
    </w:p>
    <w:p>
      <w:pPr>
        <w:pStyle w:val="Normal"/>
        <w:tabs>
          <w:tab w:val="clear" w:pos="708"/>
          <w:tab w:val="left" w:pos="1701" w:leader="none"/>
        </w:tabs>
        <w:spacing w:lineRule="auto" w:line="276"/>
        <w:ind w:firstLine="1134"/>
        <w:jc w:val="both"/>
        <w:rPr>
          <w:rFonts w:cs="Arial"/>
          <w:color w:val="000000"/>
          <w:szCs w:val="20"/>
        </w:rPr>
      </w:pPr>
      <w:r>
        <w:rPr>
          <w:rFonts w:cs="Arial"/>
          <w:color w:val="000000"/>
          <w:szCs w:val="20"/>
        </w:rPr>
        <w:t>N = Número de dias entre a data prevista para o pagamento e a do efetivo pagamento;</w:t>
      </w:r>
    </w:p>
    <w:p>
      <w:pPr>
        <w:pStyle w:val="Normal"/>
        <w:tabs>
          <w:tab w:val="clear" w:pos="708"/>
          <w:tab w:val="left" w:pos="1701" w:leader="none"/>
        </w:tabs>
        <w:spacing w:lineRule="auto" w:line="276"/>
        <w:ind w:firstLine="1134"/>
        <w:jc w:val="both"/>
        <w:rPr>
          <w:rFonts w:cs="Arial"/>
          <w:color w:val="000000"/>
          <w:szCs w:val="20"/>
        </w:rPr>
      </w:pPr>
      <w:r>
        <w:rPr>
          <w:rFonts w:cs="Arial"/>
          <w:color w:val="000000"/>
          <w:szCs w:val="20"/>
        </w:rPr>
        <w:t>VP = Valor da parcela a ser paga.</w:t>
      </w:r>
    </w:p>
    <w:p>
      <w:pPr>
        <w:pStyle w:val="Normal"/>
        <w:tabs>
          <w:tab w:val="clear" w:pos="708"/>
          <w:tab w:val="left" w:pos="1701" w:leader="none"/>
        </w:tabs>
        <w:spacing w:lineRule="auto" w:line="276"/>
        <w:ind w:firstLine="1134"/>
        <w:jc w:val="both"/>
        <w:rPr>
          <w:rFonts w:cs="Arial"/>
          <w:color w:val="000000"/>
          <w:szCs w:val="20"/>
        </w:rPr>
      </w:pPr>
      <w:r>
        <w:rPr>
          <w:rFonts w:cs="Arial"/>
          <w:color w:val="000000"/>
          <w:szCs w:val="20"/>
        </w:rPr>
        <w:t>I = Índice de compensação financeira = 0,00016438, assim apurado:</w:t>
      </w:r>
    </w:p>
    <w:tbl>
      <w:tblPr>
        <w:tblStyle w:val="Tabelacomgrade"/>
        <w:tblW w:w="8647" w:type="dxa"/>
        <w:jc w:val="left"/>
        <w:tblInd w:w="425" w:type="dxa"/>
        <w:tblCellMar>
          <w:top w:w="0" w:type="dxa"/>
          <w:left w:w="108" w:type="dxa"/>
          <w:bottom w:w="0" w:type="dxa"/>
          <w:right w:w="108" w:type="dxa"/>
        </w:tblCellMar>
        <w:tblLook w:firstRow="1" w:noVBand="1" w:lastRow="0" w:firstColumn="1" w:lastColumn="0" w:noHBand="0" w:val="04a0"/>
      </w:tblPr>
      <w:tblGrid>
        <w:gridCol w:w="2148"/>
        <w:gridCol w:w="441"/>
        <w:gridCol w:w="1247"/>
        <w:gridCol w:w="4810"/>
      </w:tblGrid>
      <w:tr>
        <w:trPr/>
        <w:tc>
          <w:tcPr>
            <w:tcW w:w="2148" w:type="dxa"/>
            <w:vMerge w:val="restart"/>
            <w:tcBorders>
              <w:top w:val="nil"/>
              <w:left w:val="nil"/>
              <w:bottom w:val="nil"/>
              <w:right w:val="nil"/>
            </w:tcBorders>
            <w:shd w:fill="auto" w:val="clear"/>
            <w:vAlign w:val="center"/>
          </w:tcPr>
          <w:p>
            <w:pPr>
              <w:pStyle w:val="Normal"/>
              <w:tabs>
                <w:tab w:val="clear" w:pos="708"/>
                <w:tab w:val="left" w:pos="1701" w:leader="none"/>
              </w:tabs>
              <w:spacing w:lineRule="auto" w:line="276"/>
              <w:jc w:val="both"/>
              <w:rPr>
                <w:rFonts w:cs="Arial"/>
                <w:color w:val="000000"/>
                <w:szCs w:val="20"/>
              </w:rPr>
            </w:pPr>
            <w:r>
              <w:rPr>
                <w:rFonts w:eastAsia="ＭＳ 明朝" w:cs="Arial" w:eastAsiaTheme="minorEastAsia"/>
                <w:color w:val="000000"/>
                <w:szCs w:val="20"/>
                <w:lang w:eastAsia="en-US"/>
              </w:rPr>
              <w:t>I = (TX)</w:t>
            </w:r>
          </w:p>
        </w:tc>
        <w:tc>
          <w:tcPr>
            <w:tcW w:w="441" w:type="dxa"/>
            <w:vMerge w:val="restart"/>
            <w:tcBorders>
              <w:top w:val="nil"/>
              <w:left w:val="nil"/>
              <w:bottom w:val="nil"/>
              <w:right w:val="nil"/>
            </w:tcBorders>
            <w:shd w:fill="auto" w:val="clear"/>
            <w:vAlign w:val="center"/>
          </w:tcPr>
          <w:p>
            <w:pPr>
              <w:pStyle w:val="Normal"/>
              <w:tabs>
                <w:tab w:val="clear" w:pos="708"/>
                <w:tab w:val="left" w:pos="1701" w:leader="none"/>
              </w:tabs>
              <w:spacing w:lineRule="auto" w:line="276"/>
              <w:jc w:val="both"/>
              <w:rPr>
                <w:rFonts w:cs="Arial"/>
                <w:color w:val="000000"/>
                <w:szCs w:val="20"/>
              </w:rPr>
            </w:pPr>
            <w:r>
              <w:rPr>
                <w:rFonts w:eastAsia="ＭＳ 明朝" w:cs="Arial" w:eastAsiaTheme="minorEastAsia"/>
                <w:color w:val="000000"/>
                <w:szCs w:val="20"/>
                <w:lang w:eastAsia="en-US"/>
              </w:rPr>
              <w:t xml:space="preserve">I = </w:t>
            </w:r>
          </w:p>
        </w:tc>
        <w:tc>
          <w:tcPr>
            <w:tcW w:w="1247" w:type="dxa"/>
            <w:tcBorders>
              <w:top w:val="nil"/>
              <w:left w:val="nil"/>
              <w:right w:val="nil"/>
            </w:tcBorders>
            <w:shd w:fill="auto" w:val="clear"/>
          </w:tcPr>
          <w:p>
            <w:pPr>
              <w:pStyle w:val="Normal"/>
              <w:tabs>
                <w:tab w:val="clear" w:pos="708"/>
                <w:tab w:val="left" w:pos="1701" w:leader="none"/>
              </w:tabs>
              <w:spacing w:lineRule="auto" w:line="276"/>
              <w:jc w:val="both"/>
              <w:rPr>
                <w:rFonts w:cs="Arial"/>
                <w:color w:val="000000"/>
                <w:szCs w:val="20"/>
              </w:rPr>
            </w:pPr>
            <w:r>
              <w:rPr>
                <w:rFonts w:eastAsia="ＭＳ 明朝" w:cs="Arial" w:eastAsiaTheme="minorEastAsia"/>
                <w:color w:val="000000"/>
                <w:szCs w:val="20"/>
                <w:lang w:eastAsia="en-US"/>
              </w:rPr>
              <w:t>( 6 / 100 )</w:t>
            </w:r>
          </w:p>
        </w:tc>
        <w:tc>
          <w:tcPr>
            <w:tcW w:w="4810" w:type="dxa"/>
            <w:vMerge w:val="restart"/>
            <w:tcBorders>
              <w:top w:val="nil"/>
              <w:left w:val="nil"/>
              <w:bottom w:val="nil"/>
              <w:right w:val="nil"/>
            </w:tcBorders>
            <w:shd w:fill="auto" w:val="clear"/>
            <w:vAlign w:val="center"/>
          </w:tcPr>
          <w:p>
            <w:pPr>
              <w:pStyle w:val="Normal"/>
              <w:tabs>
                <w:tab w:val="clear" w:pos="708"/>
                <w:tab w:val="left" w:pos="1701" w:leader="none"/>
              </w:tabs>
              <w:spacing w:lineRule="auto" w:line="276"/>
              <w:ind w:left="742" w:hanging="0"/>
              <w:jc w:val="both"/>
              <w:rPr>
                <w:rFonts w:cs="Arial"/>
                <w:color w:val="000000"/>
                <w:szCs w:val="20"/>
              </w:rPr>
            </w:pPr>
            <w:r>
              <w:rPr>
                <w:rFonts w:eastAsia="ＭＳ 明朝" w:cs="Arial" w:eastAsiaTheme="minorEastAsia"/>
                <w:color w:val="000000"/>
                <w:szCs w:val="20"/>
                <w:lang w:eastAsia="en-US"/>
              </w:rPr>
              <w:t>I = 0,00016438</w:t>
            </w:r>
          </w:p>
          <w:p>
            <w:pPr>
              <w:pStyle w:val="Normal"/>
              <w:tabs>
                <w:tab w:val="clear" w:pos="708"/>
                <w:tab w:val="left" w:pos="1701" w:leader="none"/>
              </w:tabs>
              <w:spacing w:lineRule="auto" w:line="276"/>
              <w:ind w:left="742" w:hanging="0"/>
              <w:jc w:val="both"/>
              <w:rPr>
                <w:rFonts w:cs="Arial"/>
                <w:color w:val="000000"/>
                <w:szCs w:val="20"/>
              </w:rPr>
            </w:pPr>
            <w:r>
              <w:rPr>
                <w:rFonts w:eastAsia="ＭＳ 明朝" w:cs="Arial" w:eastAsiaTheme="minorEastAsia"/>
                <w:color w:val="000000"/>
                <w:szCs w:val="20"/>
                <w:lang w:eastAsia="en-US"/>
              </w:rPr>
              <w:t>TX = Percentual da taxa anual = 6%</w:t>
            </w:r>
          </w:p>
          <w:p>
            <w:pPr>
              <w:pStyle w:val="Normal"/>
              <w:tabs>
                <w:tab w:val="clear" w:pos="708"/>
                <w:tab w:val="left" w:pos="1701" w:leader="none"/>
              </w:tabs>
              <w:spacing w:lineRule="auto" w:line="276"/>
              <w:ind w:left="742" w:hanging="0"/>
              <w:jc w:val="both"/>
              <w:rPr>
                <w:rFonts w:eastAsia="ＭＳ 明朝" w:cs="Arial"/>
                <w:color w:val="000000"/>
                <w:szCs w:val="20"/>
                <w:lang w:eastAsia="en-US"/>
              </w:rPr>
            </w:pPr>
            <w:r>
              <w:rPr>
                <w:rFonts w:eastAsia="ＭＳ 明朝" w:cs="Arial"/>
                <w:color w:val="000000"/>
                <w:szCs w:val="20"/>
                <w:lang w:eastAsia="en-US"/>
              </w:rPr>
            </w:r>
          </w:p>
        </w:tc>
      </w:tr>
      <w:tr>
        <w:trPr/>
        <w:tc>
          <w:tcPr>
            <w:tcW w:w="2148" w:type="dxa"/>
            <w:vMerge w:val="continue"/>
            <w:tcBorders>
              <w:top w:val="nil"/>
              <w:left w:val="nil"/>
              <w:bottom w:val="nil"/>
              <w:right w:val="nil"/>
            </w:tcBorders>
            <w:shd w:fill="auto" w:val="clear"/>
            <w:vAlign w:val="center"/>
          </w:tcPr>
          <w:p>
            <w:pPr>
              <w:pStyle w:val="Normal"/>
              <w:rPr>
                <w:rFonts w:eastAsia="ＭＳ 明朝" w:cs="Arial"/>
                <w:color w:val="000000"/>
                <w:szCs w:val="20"/>
                <w:lang w:eastAsia="en-US"/>
              </w:rPr>
            </w:pPr>
            <w:r>
              <w:rPr>
                <w:rFonts w:eastAsia="ＭＳ 明朝" w:cs="Arial"/>
                <w:color w:val="000000"/>
                <w:szCs w:val="20"/>
                <w:lang w:eastAsia="en-US"/>
              </w:rPr>
            </w:r>
          </w:p>
        </w:tc>
        <w:tc>
          <w:tcPr>
            <w:tcW w:w="441" w:type="dxa"/>
            <w:vMerge w:val="continue"/>
            <w:tcBorders>
              <w:top w:val="nil"/>
              <w:left w:val="nil"/>
              <w:bottom w:val="nil"/>
              <w:right w:val="nil"/>
            </w:tcBorders>
            <w:shd w:fill="auto" w:val="clear"/>
            <w:vAlign w:val="center"/>
          </w:tcPr>
          <w:p>
            <w:pPr>
              <w:pStyle w:val="Normal"/>
              <w:rPr>
                <w:rFonts w:eastAsia="ＭＳ 明朝" w:cs="Arial"/>
                <w:color w:val="000000"/>
                <w:szCs w:val="20"/>
                <w:lang w:eastAsia="en-US"/>
              </w:rPr>
            </w:pPr>
            <w:r>
              <w:rPr>
                <w:rFonts w:eastAsia="ＭＳ 明朝" w:cs="Arial"/>
                <w:color w:val="000000"/>
                <w:szCs w:val="20"/>
                <w:lang w:eastAsia="en-US"/>
              </w:rPr>
            </w:r>
          </w:p>
        </w:tc>
        <w:tc>
          <w:tcPr>
            <w:tcW w:w="1247" w:type="dxa"/>
            <w:tcBorders>
              <w:left w:val="nil"/>
              <w:bottom w:val="nil"/>
              <w:right w:val="nil"/>
            </w:tcBorders>
            <w:shd w:fill="auto" w:val="clear"/>
          </w:tcPr>
          <w:p>
            <w:pPr>
              <w:pStyle w:val="Normal"/>
              <w:tabs>
                <w:tab w:val="clear" w:pos="708"/>
                <w:tab w:val="left" w:pos="1701" w:leader="none"/>
              </w:tabs>
              <w:spacing w:lineRule="auto" w:line="276"/>
              <w:jc w:val="both"/>
              <w:rPr>
                <w:rFonts w:cs="Arial"/>
                <w:color w:val="000000"/>
                <w:szCs w:val="20"/>
              </w:rPr>
            </w:pPr>
            <w:r>
              <w:rPr>
                <w:rFonts w:eastAsia="ＭＳ 明朝" w:cs="Arial" w:eastAsiaTheme="minorEastAsia"/>
                <w:color w:val="000000"/>
                <w:szCs w:val="20"/>
                <w:lang w:eastAsia="en-US"/>
              </w:rPr>
              <w:t>365</w:t>
            </w:r>
          </w:p>
        </w:tc>
        <w:tc>
          <w:tcPr>
            <w:tcW w:w="4810" w:type="dxa"/>
            <w:vMerge w:val="continue"/>
            <w:tcBorders>
              <w:top w:val="nil"/>
              <w:left w:val="nil"/>
              <w:bottom w:val="nil"/>
              <w:right w:val="nil"/>
            </w:tcBorders>
            <w:shd w:fill="auto" w:val="clear"/>
            <w:vAlign w:val="center"/>
          </w:tcPr>
          <w:p>
            <w:pPr>
              <w:pStyle w:val="Normal"/>
              <w:rPr>
                <w:rFonts w:eastAsia="ＭＳ 明朝" w:cs="Arial"/>
                <w:color w:val="000000"/>
                <w:szCs w:val="20"/>
                <w:lang w:eastAsia="en-US"/>
              </w:rPr>
            </w:pPr>
            <w:r>
              <w:rPr>
                <w:rFonts w:eastAsia="ＭＳ 明朝" w:cs="Arial"/>
                <w:color w:val="000000"/>
                <w:szCs w:val="20"/>
                <w:lang w:eastAsia="en-US"/>
              </w:rPr>
            </w:r>
          </w:p>
        </w:tc>
      </w:tr>
    </w:tbl>
    <w:p>
      <w:pPr>
        <w:pStyle w:val="Nivel1"/>
        <w:numPr>
          <w:ilvl w:val="0"/>
          <w:numId w:val="2"/>
        </w:numPr>
        <w:rPr>
          <w:rFonts w:cs="Arial"/>
          <w:color w:val="auto"/>
        </w:rPr>
      </w:pPr>
      <w:r>
        <w:rPr>
          <w:rFonts w:cs="Arial"/>
          <w:color w:val="auto"/>
        </w:rPr>
        <w:t>REAJUSTE</w:t>
      </w:r>
    </w:p>
    <w:p>
      <w:pPr>
        <w:pStyle w:val="ListParagraph"/>
        <w:numPr>
          <w:ilvl w:val="1"/>
          <w:numId w:val="2"/>
        </w:numPr>
        <w:spacing w:lineRule="auto" w:line="276" w:before="120" w:after="120"/>
        <w:contextualSpacing/>
        <w:jc w:val="both"/>
        <w:rPr>
          <w:rFonts w:cs="Arial"/>
          <w:szCs w:val="20"/>
        </w:rPr>
      </w:pPr>
      <w:r>
        <w:rPr>
          <w:rFonts w:cs="Arial"/>
          <w:szCs w:val="20"/>
        </w:rPr>
        <w:t>Os preços são fixos e irreajustáveis no prazo de um ano contado da data limite para a apresentação das propostas.</w:t>
      </w:r>
    </w:p>
    <w:p>
      <w:pPr>
        <w:pStyle w:val="ListParagraph"/>
        <w:spacing w:lineRule="auto" w:line="276" w:before="120" w:after="120"/>
        <w:ind w:left="792" w:hanging="0"/>
        <w:contextualSpacing/>
        <w:jc w:val="both"/>
        <w:rPr>
          <w:rFonts w:cs="Arial"/>
          <w:szCs w:val="20"/>
        </w:rPr>
      </w:pPr>
      <w:r>
        <w:rPr>
          <w:rFonts w:cs="Arial"/>
          <w:szCs w:val="20"/>
        </w:rPr>
      </w:r>
    </w:p>
    <w:p>
      <w:pPr>
        <w:pStyle w:val="ListParagraph"/>
        <w:numPr>
          <w:ilvl w:val="2"/>
          <w:numId w:val="2"/>
        </w:numPr>
        <w:spacing w:lineRule="auto" w:line="276" w:before="120" w:after="120"/>
        <w:contextualSpacing/>
        <w:jc w:val="both"/>
        <w:rPr>
          <w:rFonts w:cs="Arial"/>
          <w:szCs w:val="20"/>
        </w:rPr>
      </w:pPr>
      <w:r>
        <w:rPr>
          <w:rFonts w:cs="Arial"/>
          <w:bCs/>
          <w:iCs/>
          <w:szCs w:val="20"/>
        </w:rPr>
        <w:t xml:space="preserve">Dentro do prazo de vigência do contrato e mediante solicitação da contratada, os preços contratados poderão sofrer reajuste após o interregno de um ano, aplicando-se o </w:t>
      </w:r>
      <w:commentRangeStart w:id="28"/>
      <w:r>
        <w:rPr>
          <w:rFonts w:cs="Arial"/>
          <w:bCs/>
          <w:iCs/>
          <w:szCs w:val="20"/>
        </w:rPr>
        <w:t xml:space="preserve">índice </w:t>
      </w:r>
      <w:permStart w:id="1319919657" w:edGrp="everyone"/>
      <w:r>
        <w:rPr>
          <w:rFonts w:cs="Arial"/>
          <w:bCs/>
          <w:iCs/>
          <w:color w:val="FF0000"/>
          <w:szCs w:val="20"/>
        </w:rPr>
        <w:t>XXXX</w:t>
      </w:r>
      <w:r>
        <w:rPr>
          <w:rFonts w:cs="Arial"/>
          <w:bCs/>
          <w:iCs/>
          <w:color w:val="FF0000"/>
          <w:szCs w:val="20"/>
        </w:rPr>
        <w:t xml:space="preserve"> </w:t>
      </w:r>
      <w:permEnd w:id="1319919657"/>
      <w:r>
        <w:rPr>
          <w:rFonts w:cs="Arial"/>
          <w:bCs/>
          <w:iCs/>
          <w:color w:val="FF0000"/>
          <w:szCs w:val="20"/>
        </w:rPr>
      </w:r>
      <w:commentRangeEnd w:id="28"/>
      <w:r>
        <w:commentReference w:id="28"/>
      </w:r>
      <w:r>
        <w:rPr>
          <w:rFonts w:cs="Arial"/>
          <w:bCs/>
          <w:iCs/>
          <w:szCs w:val="20"/>
        </w:rPr>
        <w:t xml:space="preserve">exclusivamente para as obrigações iniciadas e concluídas após a ocorrência da </w:t>
      </w:r>
      <w:commentRangeStart w:id="29"/>
      <w:r>
        <w:rPr>
          <w:rFonts w:cs="Arial"/>
          <w:bCs/>
          <w:iCs/>
          <w:szCs w:val="20"/>
        </w:rPr>
        <w:t>anualidade.</w:t>
      </w:r>
      <w:commentRangeEnd w:id="29"/>
      <w:r>
        <w:commentReference w:id="29"/>
      </w:r>
      <w:r>
        <w:rPr>
          <w:rFonts w:cs="Arial"/>
          <w:bCs/>
          <w:iCs/>
          <w:szCs w:val="20"/>
        </w:rPr>
      </w:r>
    </w:p>
    <w:p>
      <w:pPr>
        <w:pStyle w:val="ListParagraph"/>
        <w:numPr>
          <w:ilvl w:val="1"/>
          <w:numId w:val="2"/>
        </w:numPr>
        <w:spacing w:lineRule="auto" w:line="276" w:before="120" w:after="120"/>
        <w:contextualSpacing/>
        <w:jc w:val="both"/>
        <w:rPr>
          <w:rFonts w:cs="Arial"/>
          <w:szCs w:val="20"/>
        </w:rPr>
      </w:pPr>
      <w:r>
        <w:rPr>
          <w:rFonts w:cs="Arial"/>
          <w:szCs w:val="20"/>
        </w:rPr>
        <w:t>Nos reajustes subsequentes ao primeiro, o interregno mínimo de um ano será contado a partir dos efeitos financeiros do último reajuste.</w:t>
      </w:r>
    </w:p>
    <w:p>
      <w:pPr>
        <w:pStyle w:val="ListParagraph"/>
        <w:numPr>
          <w:ilvl w:val="1"/>
          <w:numId w:val="2"/>
        </w:numPr>
        <w:spacing w:lineRule="auto" w:line="276" w:before="120" w:after="120"/>
        <w:contextualSpacing/>
        <w:jc w:val="both"/>
        <w:rPr>
          <w:rFonts w:cs="Arial"/>
          <w:szCs w:val="20"/>
        </w:rPr>
      </w:pPr>
      <w:r>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1"/>
          <w:numId w:val="2"/>
        </w:numPr>
        <w:spacing w:lineRule="auto" w:line="276" w:before="120" w:after="120"/>
        <w:contextualSpacing/>
        <w:jc w:val="both"/>
        <w:rPr>
          <w:rFonts w:cs="Arial"/>
          <w:szCs w:val="20"/>
        </w:rPr>
      </w:pPr>
      <w:r>
        <w:rPr>
          <w:rFonts w:cs="Arial"/>
          <w:szCs w:val="20"/>
        </w:rPr>
        <w:t>Nas aferições finais, o índice utilizado para reajuste será, obrigatoriamente, o definitivo.</w:t>
      </w:r>
    </w:p>
    <w:p>
      <w:pPr>
        <w:pStyle w:val="ListParagraph"/>
        <w:numPr>
          <w:ilvl w:val="1"/>
          <w:numId w:val="2"/>
        </w:numPr>
        <w:spacing w:lineRule="auto" w:line="276" w:before="120" w:after="120"/>
        <w:contextualSpacing/>
        <w:jc w:val="both"/>
        <w:rPr>
          <w:rFonts w:cs="Arial"/>
          <w:szCs w:val="20"/>
        </w:rPr>
      </w:pPr>
      <w:r>
        <w:rPr>
          <w:rFonts w:cs="Arial"/>
          <w:szCs w:val="20"/>
        </w:rPr>
        <w:t>Caso o índice estabelecido para reajustamento venha a ser extinto ou de qualquer forma não possa mais ser utilizado, será adotado, em substituição, o que vier a ser determinado pela legislação então em vigor.</w:t>
      </w:r>
    </w:p>
    <w:p>
      <w:pPr>
        <w:pStyle w:val="ListParagraph"/>
        <w:numPr>
          <w:ilvl w:val="1"/>
          <w:numId w:val="2"/>
        </w:numPr>
        <w:spacing w:lineRule="auto" w:line="276" w:before="120" w:after="120"/>
        <w:contextualSpacing/>
        <w:jc w:val="both"/>
        <w:rPr>
          <w:rFonts w:cs="Arial"/>
          <w:szCs w:val="20"/>
        </w:rPr>
      </w:pPr>
      <w:r>
        <w:rPr>
          <w:rFonts w:cs="Arial"/>
          <w:szCs w:val="20"/>
        </w:rPr>
        <w:t xml:space="preserve">Na ausência de previsão legal quanto ao índice substituto, as partes elegerão novo índice oficial, para reajustamento do preço do valor remanescente, por meio de termo aditivo. </w:t>
      </w:r>
    </w:p>
    <w:p>
      <w:pPr>
        <w:pStyle w:val="ListParagraph"/>
        <w:numPr>
          <w:ilvl w:val="1"/>
          <w:numId w:val="2"/>
        </w:numPr>
        <w:spacing w:lineRule="auto" w:line="276" w:before="120" w:after="120"/>
        <w:contextualSpacing/>
        <w:jc w:val="both"/>
        <w:rPr>
          <w:rFonts w:cs="Arial"/>
          <w:szCs w:val="20"/>
        </w:rPr>
      </w:pPr>
      <w:r>
        <w:rPr>
          <w:rFonts w:cs="Arial"/>
          <w:szCs w:val="20"/>
        </w:rPr>
        <w:t>O reajuste será realizado por apostilamento.</w:t>
      </w:r>
    </w:p>
    <w:p>
      <w:pPr>
        <w:pStyle w:val="Normal"/>
        <w:spacing w:lineRule="auto" w:line="276" w:before="120" w:after="120"/>
        <w:jc w:val="both"/>
        <w:rPr>
          <w:rFonts w:cs="Arial"/>
          <w:szCs w:val="20"/>
        </w:rPr>
      </w:pPr>
      <w:r>
        <w:rPr>
          <w:rFonts w:cs="Arial"/>
          <w:szCs w:val="20"/>
        </w:rPr>
      </w:r>
    </w:p>
    <w:p>
      <w:pPr>
        <w:pStyle w:val="Nivel1"/>
        <w:numPr>
          <w:ilvl w:val="0"/>
          <w:numId w:val="2"/>
        </w:numPr>
        <w:rPr>
          <w:rFonts w:cs="Arial"/>
          <w:color w:val="auto"/>
        </w:rPr>
      </w:pPr>
      <w:r>
        <w:rPr>
          <w:rFonts w:cs="Arial"/>
          <w:color w:val="auto"/>
        </w:rPr>
        <w:t>GARANTIA DA EXECUÇÃO</w:t>
      </w:r>
    </w:p>
    <w:p>
      <w:pPr>
        <w:pStyle w:val="Normal"/>
        <w:spacing w:lineRule="auto" w:line="276"/>
        <w:rPr>
          <w:rFonts w:cs="Arial"/>
          <w:i/>
          <w:i/>
          <w:color w:val="FF0000"/>
          <w:szCs w:val="20"/>
        </w:rPr>
      </w:pPr>
      <w:r>
        <w:rPr>
          <w:rFonts w:cs="Arial"/>
          <w:i/>
          <w:color w:val="FF0000"/>
          <w:szCs w:val="20"/>
        </w:rPr>
      </w:r>
    </w:p>
    <w:p>
      <w:pPr>
        <w:pStyle w:val="Normal"/>
        <w:numPr>
          <w:ilvl w:val="1"/>
          <w:numId w:val="4"/>
        </w:numPr>
        <w:spacing w:lineRule="auto" w:line="276" w:before="120" w:after="120"/>
        <w:ind w:left="425" w:hanging="0"/>
        <w:jc w:val="both"/>
        <w:rPr>
          <w:rFonts w:cs="Arial"/>
          <w:i/>
          <w:i/>
          <w:color w:val="FF0000"/>
          <w:szCs w:val="20"/>
        </w:rPr>
      </w:pPr>
      <w:r>
        <w:rPr>
          <w:rFonts w:cs="Arial"/>
          <w:i/>
          <w:color w:val="FF0000"/>
          <w:szCs w:val="20"/>
        </w:rPr>
        <w:t>Não haverá exigência de garantia contratual da execução, pelas razões abaixo justificadas:</w:t>
      </w:r>
    </w:p>
    <w:p>
      <w:pPr>
        <w:pStyle w:val="Normal"/>
        <w:numPr>
          <w:ilvl w:val="2"/>
          <w:numId w:val="4"/>
        </w:numPr>
        <w:spacing w:lineRule="auto" w:line="276" w:before="120" w:after="120"/>
        <w:jc w:val="both"/>
        <w:rPr>
          <w:rFonts w:cs="Arial"/>
          <w:i/>
          <w:i/>
          <w:color w:val="FF0000"/>
          <w:szCs w:val="20"/>
        </w:rPr>
      </w:pPr>
      <w:r>
        <w:rPr>
          <w:rFonts w:cs="Arial"/>
          <w:i/>
          <w:color w:val="FF0000"/>
          <w:szCs w:val="20"/>
        </w:rPr>
        <w:t>...</w:t>
      </w:r>
    </w:p>
    <w:p>
      <w:pPr>
        <w:pStyle w:val="Normal"/>
        <w:spacing w:lineRule="auto" w:line="276" w:before="120" w:after="120"/>
        <w:jc w:val="both"/>
        <w:rPr>
          <w:rFonts w:cs="Arial"/>
          <w:i/>
          <w:i/>
          <w:color w:val="FF0000"/>
          <w:szCs w:val="20"/>
        </w:rPr>
      </w:pPr>
      <w:r>
        <w:rPr>
          <w:rFonts w:cs="Arial"/>
          <w:i/>
          <w:color w:val="FF0000"/>
          <w:szCs w:val="20"/>
        </w:rPr>
      </w:r>
    </w:p>
    <w:p>
      <w:pPr>
        <w:pStyle w:val="Normal"/>
        <w:spacing w:lineRule="auto" w:line="276" w:before="120" w:after="120"/>
        <w:jc w:val="both"/>
        <w:rPr>
          <w:rFonts w:cs="Arial"/>
          <w:b/>
          <w:b/>
          <w:i/>
          <w:i/>
          <w:color w:val="FF0000"/>
          <w:szCs w:val="20"/>
        </w:rPr>
      </w:pPr>
      <w:commentRangeStart w:id="30"/>
      <w:r>
        <w:rPr>
          <w:rFonts w:cs="Arial"/>
          <w:b/>
          <w:i/>
          <w:color w:val="FF0000"/>
          <w:szCs w:val="20"/>
          <w:u w:val="single"/>
        </w:rPr>
        <w:t>OU</w:t>
      </w:r>
      <w:commentRangeEnd w:id="30"/>
      <w:r>
        <w:commentReference w:id="30"/>
      </w:r>
      <w:r>
        <w:rPr>
          <w:rFonts w:cs="Arial"/>
          <w:b/>
          <w:i/>
          <w:color w:val="FF0000"/>
          <w:szCs w:val="20"/>
          <w:u w:val="single"/>
        </w:rPr>
      </w:r>
    </w:p>
    <w:p>
      <w:pPr>
        <w:pStyle w:val="Normal"/>
        <w:spacing w:lineRule="auto" w:line="276" w:before="120" w:after="120"/>
        <w:jc w:val="both"/>
        <w:rPr>
          <w:rFonts w:cs="Arial"/>
          <w:i/>
          <w:i/>
          <w:color w:val="FF0000"/>
          <w:szCs w:val="20"/>
        </w:rPr>
      </w:pPr>
      <w:r>
        <w:rPr>
          <w:rFonts w:cs="Arial"/>
          <w:i/>
          <w:color w:val="FF0000"/>
          <w:szCs w:val="20"/>
        </w:rPr>
      </w:r>
    </w:p>
    <w:p>
      <w:pPr>
        <w:pStyle w:val="Normal"/>
        <w:numPr>
          <w:ilvl w:val="1"/>
          <w:numId w:val="6"/>
        </w:numPr>
        <w:spacing w:lineRule="auto" w:line="276" w:before="120" w:after="120"/>
        <w:jc w:val="both"/>
        <w:rPr>
          <w:rFonts w:cs="Arial"/>
          <w:i/>
          <w:i/>
          <w:color w:val="FF0000"/>
          <w:szCs w:val="20"/>
        </w:rPr>
      </w:pPr>
      <w:r>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pPr>
        <w:pStyle w:val="Normal"/>
        <w:spacing w:lineRule="auto" w:line="276"/>
        <w:jc w:val="both"/>
        <w:rPr>
          <w:rFonts w:cs="Arial"/>
          <w:i/>
          <w:i/>
          <w:color w:val="FF0000"/>
          <w:szCs w:val="20"/>
        </w:rPr>
      </w:pPr>
      <w:r>
        <w:rPr>
          <w:rFonts w:cs="Arial"/>
          <w:i/>
          <w:color w:val="FF0000"/>
          <w:szCs w:val="20"/>
        </w:rPr>
      </w:r>
    </w:p>
    <w:p>
      <w:pPr>
        <w:pStyle w:val="Normal"/>
        <w:numPr>
          <w:ilvl w:val="1"/>
          <w:numId w:val="6"/>
        </w:numPr>
        <w:spacing w:lineRule="auto" w:line="276" w:before="120" w:after="120"/>
        <w:ind w:left="425" w:hanging="0"/>
        <w:jc w:val="both"/>
        <w:rPr>
          <w:rFonts w:cs="Arial"/>
          <w:i/>
          <w:i/>
          <w:color w:val="FF0000"/>
          <w:szCs w:val="20"/>
        </w:rPr>
      </w:pPr>
      <w:r>
        <w:rPr>
          <w:rFonts w:cs="Arial"/>
          <w:i/>
          <w:color w:val="FF0000"/>
          <w:szCs w:val="20"/>
        </w:rPr>
        <w:t>No prazo máximo de 10 (dez) dias úteis, prorrogáveis por igual período, a critério do contratante, contados da assinatura do contrato, a contratada deverá apresentar comprovante</w:t>
      </w:r>
      <w:r>
        <w:rPr>
          <w:rFonts w:eastAsia="Calibri" w:cs="Arial"/>
          <w:i/>
          <w:color w:val="FF0000"/>
          <w:szCs w:val="20"/>
          <w:lang w:eastAsia="en-US"/>
        </w:rPr>
        <w:t xml:space="preserve"> de prestação de garantia, podendo optar por caução em dinheiro ou títulos da dívida pública, seguro-garantia ou fiança bancária. </w:t>
      </w:r>
    </w:p>
    <w:p>
      <w:pPr>
        <w:pStyle w:val="Normal"/>
        <w:numPr>
          <w:ilvl w:val="2"/>
          <w:numId w:val="6"/>
        </w:numPr>
        <w:tabs>
          <w:tab w:val="clear" w:pos="708"/>
          <w:tab w:val="left" w:pos="1440" w:leader="none"/>
        </w:tabs>
        <w:snapToGrid w:val="false"/>
        <w:spacing w:lineRule="auto" w:line="276" w:before="120" w:after="120"/>
        <w:ind w:left="1134" w:hanging="0"/>
        <w:jc w:val="both"/>
        <w:rPr>
          <w:rFonts w:cs="Arial"/>
          <w:bCs/>
          <w:i/>
          <w:i/>
          <w:iCs/>
          <w:color w:val="FF0000"/>
          <w:szCs w:val="20"/>
        </w:rPr>
      </w:pPr>
      <w:r>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pPr>
        <w:pStyle w:val="Normal"/>
        <w:numPr>
          <w:ilvl w:val="2"/>
          <w:numId w:val="6"/>
        </w:numPr>
        <w:tabs>
          <w:tab w:val="clear" w:pos="708"/>
          <w:tab w:val="left" w:pos="1440" w:leader="none"/>
        </w:tabs>
        <w:snapToGrid w:val="false"/>
        <w:spacing w:lineRule="auto" w:line="276" w:before="120" w:after="120"/>
        <w:ind w:left="1134" w:hanging="0"/>
        <w:jc w:val="both"/>
        <w:rPr>
          <w:rFonts w:cs="Arial"/>
          <w:bCs/>
          <w:i/>
          <w:i/>
          <w:iCs/>
          <w:color w:val="FF0000"/>
          <w:szCs w:val="20"/>
        </w:rPr>
      </w:pPr>
      <w:r>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pPr>
        <w:pStyle w:val="Normal"/>
        <w:numPr>
          <w:ilvl w:val="1"/>
          <w:numId w:val="6"/>
        </w:numPr>
        <w:spacing w:lineRule="auto" w:line="276" w:before="120" w:after="120"/>
        <w:ind w:left="425" w:hanging="0"/>
        <w:jc w:val="both"/>
        <w:rPr>
          <w:rFonts w:cs="Arial"/>
          <w:i/>
          <w:i/>
          <w:color w:val="FF0000"/>
          <w:szCs w:val="20"/>
        </w:rPr>
      </w:pPr>
      <w:r>
        <w:rPr>
          <w:rFonts w:cs="Arial"/>
          <w:i/>
          <w:color w:val="FF0000"/>
          <w:szCs w:val="20"/>
        </w:rPr>
        <w:t>A validade da garantia, qualquer que seja a modalidade escolhida, deverá abranger um período de 90 dias após o término da vigência contratual, conforme item 3.1 do Anexo VII-F da IN SEGES/MP nº 5/2017.</w:t>
      </w:r>
    </w:p>
    <w:p>
      <w:pPr>
        <w:pStyle w:val="Normal"/>
        <w:numPr>
          <w:ilvl w:val="1"/>
          <w:numId w:val="6"/>
        </w:numPr>
        <w:spacing w:lineRule="auto" w:line="276" w:before="120" w:after="120"/>
        <w:ind w:left="425" w:hanging="0"/>
        <w:jc w:val="both"/>
        <w:rPr>
          <w:rFonts w:cs="Arial"/>
          <w:bCs/>
          <w:i/>
          <w:i/>
          <w:iCs/>
          <w:color w:val="FF0000"/>
          <w:szCs w:val="20"/>
        </w:rPr>
      </w:pPr>
      <w:r>
        <w:rPr>
          <w:rFonts w:cs="Arial"/>
          <w:bCs/>
          <w:i/>
          <w:iCs/>
          <w:color w:val="FF0000"/>
          <w:szCs w:val="20"/>
        </w:rPr>
        <w:t xml:space="preserve">A garantia assegurará, qualquer que seja a modalidade escolhida, o pagamento de: </w:t>
      </w:r>
    </w:p>
    <w:p>
      <w:pPr>
        <w:pStyle w:val="Normal"/>
        <w:numPr>
          <w:ilvl w:val="2"/>
          <w:numId w:val="6"/>
        </w:numPr>
        <w:tabs>
          <w:tab w:val="clear" w:pos="708"/>
          <w:tab w:val="left" w:pos="1440" w:leader="none"/>
        </w:tabs>
        <w:snapToGrid w:val="false"/>
        <w:spacing w:lineRule="auto" w:line="276" w:before="120" w:after="120"/>
        <w:ind w:left="1134" w:hanging="0"/>
        <w:jc w:val="both"/>
        <w:rPr>
          <w:rFonts w:cs="Arial"/>
          <w:bCs/>
          <w:i/>
          <w:i/>
          <w:iCs/>
          <w:color w:val="FF0000"/>
          <w:szCs w:val="20"/>
        </w:rPr>
      </w:pPr>
      <w:r>
        <w:rPr>
          <w:rFonts w:cs="Arial"/>
          <w:bCs/>
          <w:i/>
          <w:iCs/>
          <w:color w:val="FF0000"/>
          <w:szCs w:val="20"/>
        </w:rPr>
        <w:t xml:space="preserve">prejuízos advindos do não cumprimento do objeto do contrato e do não adimplemento das demais obrigações nele previstas; </w:t>
      </w:r>
    </w:p>
    <w:p>
      <w:pPr>
        <w:pStyle w:val="Normal"/>
        <w:numPr>
          <w:ilvl w:val="2"/>
          <w:numId w:val="6"/>
        </w:numPr>
        <w:tabs>
          <w:tab w:val="clear" w:pos="708"/>
          <w:tab w:val="left" w:pos="1440" w:leader="none"/>
        </w:tabs>
        <w:snapToGrid w:val="false"/>
        <w:spacing w:lineRule="auto" w:line="276" w:before="120" w:after="120"/>
        <w:ind w:left="1134" w:hanging="0"/>
        <w:jc w:val="both"/>
        <w:rPr>
          <w:rFonts w:cs="Arial"/>
          <w:bCs/>
          <w:i/>
          <w:i/>
          <w:iCs/>
          <w:color w:val="FF0000"/>
          <w:szCs w:val="20"/>
        </w:rPr>
      </w:pPr>
      <w:r>
        <w:rPr>
          <w:rFonts w:cs="Arial"/>
          <w:bCs/>
          <w:i/>
          <w:iCs/>
          <w:color w:val="FF0000"/>
          <w:szCs w:val="20"/>
        </w:rPr>
        <w:t>prejuízos diretos causados à Administração decorrentes de culpa ou dolo durante a execução do contrato;</w:t>
      </w:r>
    </w:p>
    <w:p>
      <w:pPr>
        <w:pStyle w:val="Normal"/>
        <w:numPr>
          <w:ilvl w:val="2"/>
          <w:numId w:val="6"/>
        </w:numPr>
        <w:tabs>
          <w:tab w:val="clear" w:pos="708"/>
          <w:tab w:val="left" w:pos="1440" w:leader="none"/>
        </w:tabs>
        <w:snapToGrid w:val="false"/>
        <w:spacing w:lineRule="auto" w:line="276" w:before="120" w:after="120"/>
        <w:ind w:left="1134" w:hanging="0"/>
        <w:jc w:val="both"/>
        <w:rPr>
          <w:rFonts w:cs="Arial"/>
          <w:bCs/>
          <w:i/>
          <w:i/>
          <w:iCs/>
          <w:color w:val="FF0000"/>
          <w:szCs w:val="20"/>
        </w:rPr>
      </w:pPr>
      <w:r>
        <w:rPr>
          <w:rFonts w:cs="Arial"/>
          <w:bCs/>
          <w:i/>
          <w:iCs/>
          <w:color w:val="FF0000"/>
          <w:szCs w:val="20"/>
        </w:rPr>
        <w:t xml:space="preserve">multas moratórias e punitivas aplicadas pela Administração à contratada; e  </w:t>
      </w:r>
    </w:p>
    <w:p>
      <w:pPr>
        <w:pStyle w:val="Normal"/>
        <w:numPr>
          <w:ilvl w:val="2"/>
          <w:numId w:val="6"/>
        </w:numPr>
        <w:tabs>
          <w:tab w:val="clear" w:pos="708"/>
          <w:tab w:val="left" w:pos="1440" w:leader="none"/>
        </w:tabs>
        <w:snapToGrid w:val="false"/>
        <w:spacing w:lineRule="auto" w:line="276" w:before="120" w:after="120"/>
        <w:ind w:left="1134" w:hanging="0"/>
        <w:jc w:val="both"/>
        <w:rPr>
          <w:rFonts w:cs="Arial"/>
          <w:bCs/>
          <w:i/>
          <w:i/>
          <w:iCs/>
          <w:color w:val="FF0000"/>
          <w:szCs w:val="20"/>
        </w:rPr>
      </w:pPr>
      <w:r>
        <w:rPr>
          <w:rFonts w:cs="Arial"/>
          <w:bCs/>
          <w:i/>
          <w:iCs/>
          <w:color w:val="FF0000"/>
          <w:szCs w:val="20"/>
        </w:rPr>
        <w:t>obrigações trabalhistas e previdenciárias de qualquer natureza e para com o FGTS, não adimplidas pela contratada, quando couber.</w:t>
      </w:r>
    </w:p>
    <w:p>
      <w:pPr>
        <w:pStyle w:val="Normal"/>
        <w:numPr>
          <w:ilvl w:val="1"/>
          <w:numId w:val="6"/>
        </w:numPr>
        <w:spacing w:lineRule="auto" w:line="276" w:before="120" w:after="120"/>
        <w:ind w:left="425" w:hanging="0"/>
        <w:jc w:val="both"/>
        <w:rPr>
          <w:rFonts w:cs="Arial"/>
          <w:i/>
          <w:i/>
          <w:color w:val="FF0000"/>
          <w:szCs w:val="20"/>
        </w:rPr>
      </w:pPr>
      <w:r>
        <w:rPr>
          <w:rFonts w:cs="Arial"/>
          <w:i/>
          <w:color w:val="FF0000"/>
          <w:szCs w:val="20"/>
        </w:rPr>
        <w:t>A modalidade seguro-garantia somente será aceita se contemplar todos os eventos indicados no item anterior, observada a legislação que rege a matéria.</w:t>
      </w:r>
    </w:p>
    <w:p>
      <w:pPr>
        <w:pStyle w:val="Normal"/>
        <w:numPr>
          <w:ilvl w:val="1"/>
          <w:numId w:val="6"/>
        </w:numPr>
        <w:spacing w:lineRule="auto" w:line="276" w:before="120" w:after="120"/>
        <w:ind w:left="425" w:hanging="0"/>
        <w:jc w:val="both"/>
        <w:rPr>
          <w:rFonts w:cs="Arial"/>
          <w:i/>
          <w:i/>
          <w:color w:val="FF0000"/>
          <w:szCs w:val="20"/>
        </w:rPr>
      </w:pPr>
      <w:r>
        <w:rPr>
          <w:rFonts w:cs="Arial"/>
          <w:i/>
          <w:color w:val="FF0000"/>
          <w:szCs w:val="20"/>
        </w:rPr>
        <w:t>A garantia em dinheiro deverá ser efetuada em favor da Contratante, em conta específica na Caixa Econômica Federal, com correção monetária.</w:t>
      </w:r>
    </w:p>
    <w:p>
      <w:pPr>
        <w:pStyle w:val="Normal"/>
        <w:numPr>
          <w:ilvl w:val="1"/>
          <w:numId w:val="6"/>
        </w:numPr>
        <w:spacing w:lineRule="auto" w:line="276" w:before="120" w:after="120"/>
        <w:ind w:left="425" w:hanging="0"/>
        <w:jc w:val="both"/>
        <w:rPr>
          <w:rFonts w:cs="Arial"/>
          <w:bCs/>
          <w:i/>
          <w:i/>
          <w:iCs/>
          <w:color w:val="FF0000"/>
          <w:szCs w:val="20"/>
        </w:rPr>
      </w:pPr>
      <w:r>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pPr>
        <w:pStyle w:val="Normal"/>
        <w:numPr>
          <w:ilvl w:val="1"/>
          <w:numId w:val="6"/>
        </w:numPr>
        <w:spacing w:lineRule="auto" w:line="276" w:before="120" w:after="120"/>
        <w:ind w:left="425" w:hanging="0"/>
        <w:jc w:val="both"/>
        <w:rPr>
          <w:rFonts w:cs="Arial"/>
          <w:bCs/>
          <w:i/>
          <w:i/>
          <w:iCs/>
          <w:color w:val="FF0000"/>
          <w:szCs w:val="20"/>
        </w:rPr>
      </w:pPr>
      <w:r>
        <w:rPr>
          <w:rFonts w:cs="Arial"/>
          <w:bCs/>
          <w:i/>
          <w:iCs/>
          <w:color w:val="FF0000"/>
          <w:szCs w:val="20"/>
        </w:rPr>
        <w:t>No caso de garantia na modalidade de fiança bancária, deverá constar expressa renúncia do fiador aos benefícios do artigo 827 do Código Civil.</w:t>
      </w:r>
    </w:p>
    <w:p>
      <w:pPr>
        <w:pStyle w:val="Normal"/>
        <w:numPr>
          <w:ilvl w:val="1"/>
          <w:numId w:val="6"/>
        </w:numPr>
        <w:spacing w:lineRule="auto" w:line="276" w:before="120" w:after="120"/>
        <w:ind w:left="425" w:hanging="0"/>
        <w:jc w:val="both"/>
        <w:rPr>
          <w:rFonts w:cs="Arial"/>
          <w:bCs/>
          <w:i/>
          <w:i/>
          <w:iCs/>
          <w:color w:val="FF0000"/>
          <w:szCs w:val="20"/>
        </w:rPr>
      </w:pPr>
      <w:r>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pPr>
        <w:pStyle w:val="Normal"/>
        <w:numPr>
          <w:ilvl w:val="1"/>
          <w:numId w:val="6"/>
        </w:numPr>
        <w:spacing w:lineRule="auto" w:line="276" w:before="120" w:after="120"/>
        <w:ind w:left="425" w:hanging="0"/>
        <w:jc w:val="both"/>
        <w:rPr>
          <w:rFonts w:cs="Arial"/>
          <w:bCs/>
          <w:i/>
          <w:i/>
          <w:iCs/>
          <w:color w:val="FF0000"/>
          <w:szCs w:val="20"/>
        </w:rPr>
      </w:pPr>
      <w:r>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pPr>
        <w:pStyle w:val="Normal"/>
        <w:numPr>
          <w:ilvl w:val="1"/>
          <w:numId w:val="6"/>
        </w:numPr>
        <w:spacing w:lineRule="auto" w:line="276" w:before="120" w:after="120"/>
        <w:ind w:left="425" w:hanging="0"/>
        <w:jc w:val="both"/>
        <w:rPr>
          <w:rFonts w:cs="Arial"/>
          <w:bCs/>
          <w:i/>
          <w:i/>
          <w:iCs/>
          <w:color w:val="FF0000"/>
          <w:szCs w:val="20"/>
        </w:rPr>
      </w:pPr>
      <w:r>
        <w:rPr>
          <w:rFonts w:cs="Arial"/>
          <w:bCs/>
          <w:i/>
          <w:iCs/>
          <w:color w:val="FF0000"/>
          <w:szCs w:val="20"/>
        </w:rPr>
        <w:t>A Contratante executará a garantia na forma prevista na legislação que rege a matéria.</w:t>
      </w:r>
    </w:p>
    <w:p>
      <w:pPr>
        <w:pStyle w:val="Normal"/>
        <w:numPr>
          <w:ilvl w:val="1"/>
          <w:numId w:val="6"/>
        </w:numPr>
        <w:spacing w:lineRule="auto" w:line="276" w:before="120" w:after="120"/>
        <w:ind w:left="425" w:hanging="0"/>
        <w:jc w:val="both"/>
        <w:rPr>
          <w:rFonts w:cs="Arial"/>
          <w:bCs/>
          <w:i/>
          <w:i/>
          <w:iCs/>
          <w:color w:val="FF0000"/>
          <w:szCs w:val="20"/>
        </w:rPr>
      </w:pPr>
      <w:r>
        <w:rPr>
          <w:rFonts w:cs="Arial"/>
          <w:bCs/>
          <w:i/>
          <w:iCs/>
          <w:color w:val="FF0000"/>
          <w:szCs w:val="20"/>
        </w:rPr>
        <w:t>Será considerada extinta a garantia:</w:t>
      </w:r>
      <w:r>
        <w:rPr>
          <w:rFonts w:cs="Arial"/>
          <w:i/>
          <w:color w:val="FF0000"/>
          <w:szCs w:val="20"/>
        </w:rPr>
        <w:t xml:space="preserve"> </w:t>
      </w:r>
    </w:p>
    <w:p>
      <w:pPr>
        <w:pStyle w:val="Normal"/>
        <w:numPr>
          <w:ilvl w:val="2"/>
          <w:numId w:val="6"/>
        </w:numPr>
        <w:tabs>
          <w:tab w:val="clear" w:pos="708"/>
          <w:tab w:val="left" w:pos="1440" w:leader="none"/>
        </w:tabs>
        <w:snapToGrid w:val="false"/>
        <w:spacing w:lineRule="auto" w:line="276" w:before="120" w:after="120"/>
        <w:ind w:left="1134" w:hanging="0"/>
        <w:jc w:val="both"/>
        <w:rPr>
          <w:rFonts w:cs="Arial"/>
          <w:bCs/>
          <w:i/>
          <w:i/>
          <w:iCs/>
          <w:color w:val="FF0000"/>
          <w:szCs w:val="20"/>
        </w:rPr>
      </w:pPr>
      <w:r>
        <w:rPr>
          <w:rFonts w:cs="Arial"/>
          <w:bCs/>
          <w:i/>
          <w:iCs/>
          <w:color w:val="FF0000"/>
          <w:szCs w:val="20"/>
        </w:rPr>
        <w:t xml:space="preserve"> </w:t>
      </w:r>
      <w:r>
        <w:rPr>
          <w:rFonts w:cs="Arial"/>
          <w:bCs/>
          <w:i/>
          <w:iCs/>
          <w:color w:val="FF0000"/>
          <w:szCs w:val="20"/>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pPr>
        <w:pStyle w:val="Normal"/>
        <w:numPr>
          <w:ilvl w:val="2"/>
          <w:numId w:val="6"/>
        </w:numPr>
        <w:tabs>
          <w:tab w:val="clear" w:pos="708"/>
          <w:tab w:val="left" w:pos="1440" w:leader="none"/>
        </w:tabs>
        <w:snapToGrid w:val="false"/>
        <w:spacing w:lineRule="auto" w:line="276" w:before="120" w:after="120"/>
        <w:ind w:left="1134" w:hanging="0"/>
        <w:jc w:val="both"/>
        <w:rPr>
          <w:rFonts w:cs="Arial"/>
          <w:bCs/>
          <w:i/>
          <w:i/>
          <w:iCs/>
          <w:color w:val="FF0000"/>
          <w:szCs w:val="20"/>
        </w:rPr>
      </w:pPr>
      <w:r>
        <w:rPr>
          <w:rFonts w:cs="Arial"/>
          <w:bCs/>
          <w:i/>
          <w:iCs/>
          <w:color w:val="FF0000"/>
          <w:szCs w:val="20"/>
        </w:rPr>
        <w:t xml:space="preserve"> </w:t>
      </w:r>
      <w:r>
        <w:rPr>
          <w:rFonts w:cs="Arial"/>
          <w:bCs/>
          <w:i/>
          <w:iCs/>
          <w:color w:val="FF0000"/>
          <w:szCs w:val="20"/>
        </w:rPr>
        <w:t xml:space="preserve">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pPr>
        <w:pStyle w:val="Normal"/>
        <w:numPr>
          <w:ilvl w:val="1"/>
          <w:numId w:val="6"/>
        </w:numPr>
        <w:spacing w:lineRule="auto" w:line="276" w:before="120" w:after="120"/>
        <w:ind w:left="425" w:hanging="0"/>
        <w:jc w:val="both"/>
        <w:rPr>
          <w:rFonts w:cs="Arial"/>
          <w:i/>
          <w:i/>
          <w:color w:val="FF0000"/>
          <w:szCs w:val="20"/>
        </w:rPr>
      </w:pPr>
      <w:r>
        <w:rPr>
          <w:rFonts w:eastAsia="Calibri" w:cs="Arial"/>
          <w:i/>
          <w:color w:val="FF0000"/>
          <w:szCs w:val="20"/>
          <w:lang w:eastAsia="en-US"/>
        </w:rPr>
        <w:t xml:space="preserve">O garantidor não é parte para figurar em processo administrativo instaurado pela </w:t>
      </w:r>
      <w:r>
        <w:rPr>
          <w:rFonts w:cs="Arial"/>
          <w:i/>
          <w:color w:val="FF0000"/>
          <w:szCs w:val="20"/>
        </w:rPr>
        <w:t xml:space="preserve">contratante com o objetivo de apurar prejuízos e/ou aplicar sanções à contratada. </w:t>
      </w:r>
    </w:p>
    <w:p>
      <w:pPr>
        <w:pStyle w:val="Normal"/>
        <w:numPr>
          <w:ilvl w:val="1"/>
          <w:numId w:val="6"/>
        </w:numPr>
        <w:spacing w:lineRule="auto" w:line="276" w:before="120" w:after="120"/>
        <w:ind w:left="425" w:hanging="0"/>
        <w:jc w:val="both"/>
        <w:rPr>
          <w:rFonts w:eastAsia="Calibri" w:cs="Arial"/>
          <w:i/>
          <w:i/>
          <w:color w:val="FF0000"/>
          <w:szCs w:val="20"/>
          <w:lang w:eastAsia="en-US"/>
        </w:rPr>
      </w:pPr>
      <w:permStart w:id="467554606" w:edGrp="everyone"/>
      <w:r>
        <w:rPr>
          <w:rFonts w:eastAsia="Calibri" w:cs="Arial"/>
          <w:i/>
          <w:color w:val="FF0000"/>
          <w:szCs w:val="20"/>
          <w:lang w:eastAsia="en-US"/>
        </w:rPr>
        <w:t>A contratada autoriza a contratante a reter, a qualquer tempo, a garantia, na forma prevista no neste Edital e no Contrato.</w:t>
      </w:r>
      <w:permEnd w:id="467554606"/>
    </w:p>
    <w:p>
      <w:pPr>
        <w:pStyle w:val="Normal"/>
        <w:spacing w:lineRule="auto" w:line="276" w:before="120" w:after="120"/>
        <w:jc w:val="both"/>
        <w:rPr>
          <w:rFonts w:cs="Arial"/>
          <w:szCs w:val="20"/>
        </w:rPr>
      </w:pPr>
      <w:r>
        <w:rPr>
          <w:rFonts w:cs="Arial"/>
          <w:szCs w:val="20"/>
        </w:rPr>
      </w:r>
    </w:p>
    <w:p>
      <w:pPr>
        <w:pStyle w:val="Nivel1"/>
        <w:numPr>
          <w:ilvl w:val="0"/>
          <w:numId w:val="2"/>
        </w:numPr>
        <w:rPr>
          <w:rFonts w:cs="Arial"/>
        </w:rPr>
      </w:pPr>
      <w:r>
        <w:rPr>
          <w:rFonts w:cs="Arial"/>
        </w:rPr>
        <w:t>DAS SANÇÕES ADMINISTRATIVAS</w:t>
      </w:r>
    </w:p>
    <w:p>
      <w:pPr>
        <w:pStyle w:val="Normal"/>
        <w:numPr>
          <w:ilvl w:val="1"/>
          <w:numId w:val="2"/>
        </w:numPr>
        <w:spacing w:lineRule="auto" w:line="276" w:before="120" w:after="120"/>
        <w:ind w:left="792" w:right="-30" w:hanging="432"/>
        <w:jc w:val="both"/>
        <w:rPr>
          <w:rFonts w:cs="Arial"/>
          <w:szCs w:val="20"/>
        </w:rPr>
      </w:pPr>
      <w:r>
        <w:rPr>
          <w:rFonts w:cs="Arial"/>
          <w:szCs w:val="20"/>
        </w:rPr>
        <w:t>Comete infração administrativa nos termos da Lei nº 10.520, de 2002, a CONTRATADA que:</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sz w:val="20"/>
          <w:szCs w:val="20"/>
        </w:rPr>
        <w:t>inexecutar total ou parcialmente qualquer das obrigações assumidas em decorrência da contratação;</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sz w:val="20"/>
          <w:szCs w:val="20"/>
        </w:rPr>
        <w:t>ensejar o retardamento da execução do objeto;</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sz w:val="20"/>
          <w:szCs w:val="20"/>
        </w:rPr>
        <w:t>falhar ou fraudar na execução do contrato;</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sz w:val="20"/>
          <w:szCs w:val="20"/>
        </w:rPr>
        <w:t>comportar-se de modo inidôneo; ou</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sz w:val="20"/>
          <w:szCs w:val="20"/>
        </w:rPr>
        <w:t>cometer fraude fiscal.</w:t>
      </w:r>
    </w:p>
    <w:p>
      <w:pPr>
        <w:pStyle w:val="Normal"/>
        <w:numPr>
          <w:ilvl w:val="1"/>
          <w:numId w:val="2"/>
        </w:numPr>
        <w:spacing w:lineRule="auto" w:line="276" w:before="120" w:after="120"/>
        <w:ind w:left="792" w:right="-30" w:hanging="432"/>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b/>
          <w:bCs/>
          <w:sz w:val="20"/>
          <w:szCs w:val="20"/>
        </w:rPr>
        <w:t>Advertência por escrito</w:t>
      </w:r>
      <w:r>
        <w:rPr>
          <w:rFonts w:cs="Arial" w:ascii="Arial" w:hAnsi="Arial"/>
          <w:sz w:val="20"/>
          <w:szCs w:val="20"/>
        </w:rPr>
        <w:t>, quando do não cumprimento de quaisquer das obrigações contratuais consideradas faltas leves, assim entendidas aquelas que não acarretam prejuízos significativos para o serviço contratado;</w:t>
      </w:r>
    </w:p>
    <w:p>
      <w:pPr>
        <w:pStyle w:val="PargrafodaLista1"/>
        <w:numPr>
          <w:ilvl w:val="2"/>
          <w:numId w:val="2"/>
        </w:numPr>
        <w:spacing w:lineRule="auto" w:line="276" w:before="120" w:after="120"/>
        <w:ind w:left="1224" w:right="-30" w:hanging="504"/>
        <w:jc w:val="both"/>
        <w:rPr>
          <w:rFonts w:ascii="Arial" w:hAnsi="Arial" w:cs="Arial"/>
          <w:sz w:val="20"/>
          <w:szCs w:val="20"/>
        </w:rPr>
      </w:pPr>
      <w:commentRangeStart w:id="31"/>
      <w:r>
        <w:rPr>
          <w:rFonts w:cs="Arial" w:ascii="Arial" w:hAnsi="Arial"/>
          <w:b/>
          <w:bCs/>
          <w:sz w:val="20"/>
          <w:szCs w:val="20"/>
        </w:rPr>
        <w:t>Multa de</w:t>
      </w:r>
      <w:r>
        <w:rPr>
          <w:rFonts w:cs="Arial" w:ascii="Arial" w:hAnsi="Arial"/>
          <w:b/>
          <w:bCs/>
          <w:sz w:val="20"/>
          <w:szCs w:val="20"/>
        </w:rPr>
      </w:r>
      <w:commentRangeEnd w:id="31"/>
      <w:r>
        <w:commentReference w:id="31"/>
      </w:r>
      <w:r>
        <w:rPr>
          <w:rFonts w:cs="Arial" w:ascii="Arial" w:hAnsi="Arial"/>
          <w:sz w:val="20"/>
          <w:szCs w:val="20"/>
        </w:rPr>
        <w:t xml:space="preserve">: </w:t>
      </w:r>
    </w:p>
    <w:p>
      <w:pPr>
        <w:pStyle w:val="PargrafodaLista1"/>
        <w:numPr>
          <w:ilvl w:val="3"/>
          <w:numId w:val="2"/>
        </w:numPr>
        <w:spacing w:lineRule="auto" w:line="276" w:before="120" w:after="120"/>
        <w:ind w:left="1728" w:right="-30" w:hanging="648"/>
        <w:jc w:val="both"/>
        <w:rPr>
          <w:rFonts w:ascii="Arial" w:hAnsi="Arial" w:cs="Arial"/>
          <w:sz w:val="20"/>
          <w:szCs w:val="20"/>
        </w:rPr>
      </w:pPr>
      <w:r>
        <w:rPr>
          <w:rFonts w:cs="Arial" w:ascii="Arial" w:hAnsi="Arial"/>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PargrafodaLista1"/>
        <w:numPr>
          <w:ilvl w:val="3"/>
          <w:numId w:val="2"/>
        </w:numPr>
        <w:spacing w:lineRule="auto" w:line="276" w:before="120" w:after="120"/>
        <w:ind w:left="1728" w:right="-30" w:hanging="648"/>
        <w:jc w:val="both"/>
        <w:rPr>
          <w:rFonts w:ascii="Arial" w:hAnsi="Arial" w:cs="Arial"/>
          <w:sz w:val="20"/>
          <w:szCs w:val="20"/>
        </w:rPr>
      </w:pPr>
      <w:r>
        <w:rPr>
          <w:rFonts w:cs="Arial" w:ascii="Arial" w:hAnsi="Arial"/>
          <w:sz w:val="20"/>
          <w:szCs w:val="20"/>
        </w:rPr>
        <w:t xml:space="preserve">0,1% (um décimo por cento) até 10% (dez por cento) sobre o valor adjudicado, em caso de atraso na execução do objeto, por período superior ao previsto no </w:t>
      </w:r>
      <w:r>
        <w:rPr>
          <w:rFonts w:cs="Arial" w:ascii="Arial" w:hAnsi="Arial"/>
          <w:bCs/>
          <w:color w:val="000000" w:themeColor="text1"/>
          <w:sz w:val="20"/>
          <w:szCs w:val="20"/>
        </w:rPr>
        <w:t>subitem acima,</w:t>
      </w:r>
      <w:r>
        <w:rPr>
          <w:rFonts w:cs="Arial" w:ascii="Arial" w:hAnsi="Arial"/>
          <w:sz w:val="20"/>
          <w:szCs w:val="20"/>
        </w:rPr>
        <w:t xml:space="preserve"> ou de inexecução parcial da obrigação assumida;</w:t>
      </w:r>
    </w:p>
    <w:p>
      <w:pPr>
        <w:pStyle w:val="PargrafodaLista1"/>
        <w:numPr>
          <w:ilvl w:val="3"/>
          <w:numId w:val="2"/>
        </w:numPr>
        <w:spacing w:lineRule="auto" w:line="276" w:before="120" w:after="120"/>
        <w:ind w:left="1728" w:right="-30" w:hanging="648"/>
        <w:jc w:val="both"/>
        <w:rPr>
          <w:rFonts w:ascii="Arial" w:hAnsi="Arial" w:cs="Arial"/>
          <w:sz w:val="20"/>
          <w:szCs w:val="20"/>
        </w:rPr>
      </w:pPr>
      <w:r>
        <w:rPr>
          <w:rFonts w:cs="Arial" w:ascii="Arial" w:hAnsi="Arial"/>
          <w:sz w:val="20"/>
          <w:szCs w:val="20"/>
        </w:rPr>
        <w:t>0,1% (um décimo por cento) até 15% (quinze por cento) sobre o valor adjudicado, em caso de inexecução total da obrigação assumida;</w:t>
      </w:r>
    </w:p>
    <w:p>
      <w:pPr>
        <w:pStyle w:val="PargrafodaLista1"/>
        <w:numPr>
          <w:ilvl w:val="3"/>
          <w:numId w:val="2"/>
        </w:numPr>
        <w:spacing w:lineRule="auto" w:line="276" w:before="120" w:after="120"/>
        <w:ind w:left="1728" w:right="-30" w:hanging="648"/>
        <w:jc w:val="both"/>
        <w:rPr>
          <w:rFonts w:ascii="Arial" w:hAnsi="Arial" w:cs="Arial"/>
          <w:sz w:val="20"/>
          <w:szCs w:val="20"/>
        </w:rPr>
      </w:pPr>
      <w:r>
        <w:rPr>
          <w:rFonts w:cs="Arial" w:ascii="Arial" w:hAnsi="Arial"/>
          <w:sz w:val="20"/>
          <w:szCs w:val="20"/>
        </w:rPr>
        <w:t xml:space="preserve">0,2% a 3,2% por dia sobre o valor mensal do contrato, conforme detalhamento constante das </w:t>
      </w:r>
      <w:r>
        <w:rPr>
          <w:rFonts w:cs="Arial" w:ascii="Arial" w:hAnsi="Arial"/>
          <w:b/>
          <w:bCs/>
          <w:sz w:val="20"/>
          <w:szCs w:val="20"/>
        </w:rPr>
        <w:t>tabelas 1 e 2</w:t>
      </w:r>
      <w:r>
        <w:rPr>
          <w:rFonts w:cs="Arial" w:ascii="Arial" w:hAnsi="Arial"/>
          <w:sz w:val="20"/>
          <w:szCs w:val="20"/>
        </w:rPr>
        <w:t>, abaixo; e</w:t>
      </w:r>
    </w:p>
    <w:p>
      <w:pPr>
        <w:pStyle w:val="PargrafodaLista1"/>
        <w:numPr>
          <w:ilvl w:val="3"/>
          <w:numId w:val="2"/>
        </w:numPr>
        <w:spacing w:lineRule="auto" w:line="276" w:before="120" w:after="120"/>
        <w:ind w:left="1728" w:right="-30" w:hanging="648"/>
        <w:jc w:val="both"/>
        <w:rPr>
          <w:rFonts w:ascii="Arial" w:hAnsi="Arial" w:cs="Arial"/>
          <w:sz w:val="20"/>
          <w:szCs w:val="20"/>
        </w:rPr>
      </w:pPr>
      <w:r>
        <w:rPr>
          <w:rFonts w:cs="Arial" w:ascii="Arial" w:hAnsi="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PargrafodaLista1"/>
        <w:numPr>
          <w:ilvl w:val="3"/>
          <w:numId w:val="2"/>
        </w:numPr>
        <w:spacing w:lineRule="auto" w:line="276" w:before="120" w:after="120"/>
        <w:ind w:left="1728" w:right="-30" w:hanging="648"/>
        <w:jc w:val="both"/>
        <w:rPr>
          <w:rFonts w:ascii="Arial" w:hAnsi="Arial" w:cs="Arial"/>
          <w:sz w:val="20"/>
          <w:szCs w:val="20"/>
        </w:rPr>
      </w:pPr>
      <w:r>
        <w:rPr>
          <w:rFonts w:cs="Arial" w:ascii="Arial" w:hAnsi="Arial"/>
          <w:sz w:val="20"/>
          <w:szCs w:val="20"/>
        </w:rPr>
        <w:t>as penalidades de multa decorrentes de fatos diversos serão consideradas independentes entre si.</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sz w:val="20"/>
          <w:szCs w:val="20"/>
        </w:rPr>
        <w:t>Suspensão de licitar e impedimento de contratar com o órgão, entidade ou unidade administrativa pela qual a Administração Pública opera e atua concretamente, pelo prazo de até dois anos;</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sz w:val="20"/>
          <w:szCs w:val="20"/>
        </w:rPr>
        <w:t>Sanção de impedimento de licitar e contratar com órgãos e entidades da União, com o consequente descredenciamento no SICAF pelo prazo de até cinco anos.</w:t>
      </w:r>
    </w:p>
    <w:p>
      <w:pPr>
        <w:pStyle w:val="PargrafodaLista1"/>
        <w:numPr>
          <w:ilvl w:val="3"/>
          <w:numId w:val="2"/>
        </w:numPr>
        <w:spacing w:lineRule="auto" w:line="276" w:before="120" w:after="120"/>
        <w:ind w:left="1728" w:right="-30" w:hanging="648"/>
        <w:jc w:val="both"/>
        <w:rPr>
          <w:rFonts w:ascii="Arial" w:hAnsi="Arial" w:cs="Arial"/>
          <w:sz w:val="20"/>
          <w:szCs w:val="20"/>
        </w:rPr>
      </w:pPr>
      <w:r>
        <w:rPr>
          <w:rFonts w:cs="Arial" w:ascii="Arial" w:hAnsi="Arial"/>
          <w:sz w:val="20"/>
          <w:szCs w:val="20"/>
        </w:rPr>
        <w:t>A Sanção de impedimento de licitar e contratar prevista neste subitem também é aplicável em quaisquer das hipóteses previstas como infração administrativa no subitem 19.1 deste Termo de Referência.</w:t>
      </w:r>
    </w:p>
    <w:p>
      <w:pPr>
        <w:pStyle w:val="PargrafodaLista1"/>
        <w:numPr>
          <w:ilvl w:val="2"/>
          <w:numId w:val="2"/>
        </w:numPr>
        <w:spacing w:lineRule="auto" w:line="276" w:before="120" w:after="120"/>
        <w:ind w:left="1224" w:right="-30" w:hanging="504"/>
        <w:jc w:val="both"/>
        <w:rPr>
          <w:rFonts w:ascii="Arial" w:hAnsi="Arial" w:cs="Arial"/>
          <w:sz w:val="20"/>
          <w:szCs w:val="20"/>
        </w:rPr>
      </w:pPr>
      <w:r>
        <w:rPr>
          <w:rFonts w:cs="Arial" w:ascii="Arial" w:hAnsi="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numPr>
          <w:ilvl w:val="1"/>
          <w:numId w:val="2"/>
        </w:numPr>
        <w:spacing w:lineRule="auto" w:line="276" w:before="120" w:after="120"/>
        <w:ind w:left="792" w:right="-30" w:hanging="432"/>
        <w:jc w:val="both"/>
        <w:rPr>
          <w:rFonts w:cs="Arial"/>
          <w:szCs w:val="20"/>
        </w:rPr>
      </w:pPr>
      <w:r>
        <w:rPr>
          <w:rFonts w:cs="Arial"/>
          <w:szCs w:val="20"/>
        </w:rPr>
        <w:t>As sanções previstas nos subitens 19.2.1, 19.2.3, 19.2.4 e 19.2.5 poderão ser aplicadas à CONTRATADA juntamente com as de multa, descontando-a dos pagamentos a serem efetuados.</w:t>
      </w:r>
    </w:p>
    <w:p>
      <w:pPr>
        <w:pStyle w:val="Normal"/>
        <w:numPr>
          <w:ilvl w:val="1"/>
          <w:numId w:val="2"/>
        </w:numPr>
        <w:spacing w:lineRule="auto" w:line="276" w:before="120" w:after="120"/>
        <w:ind w:left="792" w:right="-30" w:hanging="432"/>
        <w:jc w:val="both"/>
        <w:rPr>
          <w:rFonts w:cs="Arial"/>
          <w:szCs w:val="20"/>
        </w:rPr>
      </w:pPr>
      <w:r>
        <w:rPr>
          <w:rFonts w:cs="Arial"/>
          <w:szCs w:val="20"/>
        </w:rPr>
        <w:t xml:space="preserve">Para efeito de aplicação de multas, às infrações são atribuídos graus, de acordo com as </w:t>
      </w:r>
      <w:commentRangeStart w:id="32"/>
      <w:r>
        <w:rPr>
          <w:rFonts w:cs="Arial"/>
          <w:szCs w:val="20"/>
        </w:rPr>
        <w:t xml:space="preserve">tabelas </w:t>
      </w:r>
      <w:r>
        <w:rPr>
          <w:rFonts w:cs="Arial"/>
          <w:szCs w:val="20"/>
        </w:rPr>
      </w:r>
      <w:commentRangeEnd w:id="32"/>
      <w:r>
        <w:commentReference w:id="32"/>
      </w:r>
      <w:r>
        <w:rPr>
          <w:rFonts w:cs="Arial"/>
          <w:szCs w:val="20"/>
        </w:rPr>
        <w:t>1 e 2:</w:t>
      </w:r>
    </w:p>
    <w:p>
      <w:pPr>
        <w:pStyle w:val="Normal"/>
        <w:spacing w:lineRule="auto" w:line="276" w:before="120" w:after="120"/>
        <w:ind w:right="-30" w:hanging="0"/>
        <w:jc w:val="center"/>
        <w:rPr>
          <w:rFonts w:cs="Arial"/>
          <w:b/>
          <w:b/>
          <w:bCs/>
          <w:szCs w:val="20"/>
        </w:rPr>
      </w:pPr>
      <w:r>
        <w:rPr>
          <w:rFonts w:cs="Arial"/>
          <w:b/>
          <w:bCs/>
          <w:szCs w:val="20"/>
        </w:rPr>
        <w:t>Tabela 1</w:t>
      </w:r>
    </w:p>
    <w:tbl>
      <w:tblPr>
        <w:tblW w:w="9180" w:type="dxa"/>
        <w:jc w:val="left"/>
        <w:tblInd w:w="90" w:type="dxa"/>
        <w:tblCellMar>
          <w:top w:w="75" w:type="dxa"/>
          <w:left w:w="75" w:type="dxa"/>
          <w:bottom w:w="75" w:type="dxa"/>
          <w:right w:w="75" w:type="dxa"/>
        </w:tblCellMar>
        <w:tblLook w:firstRow="0" w:noVBand="0" w:lastRow="0" w:firstColumn="0" w:lastColumn="0" w:noHBand="0" w:val="0000"/>
      </w:tblPr>
      <w:tblGrid>
        <w:gridCol w:w="3575"/>
        <w:gridCol w:w="5604"/>
      </w:tblGrid>
      <w:tr>
        <w:trPr>
          <w:trHeight w:val="180" w:hRule="atLeast"/>
        </w:trPr>
        <w:tc>
          <w:tcPr>
            <w:tcW w:w="357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b/>
                <w:bCs/>
                <w:szCs w:val="20"/>
              </w:rPr>
              <w:t>GRAU</w:t>
            </w:r>
          </w:p>
        </w:tc>
        <w:tc>
          <w:tcPr>
            <w:tcW w:w="5604"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b/>
                <w:bCs/>
                <w:szCs w:val="20"/>
              </w:rPr>
              <w:t>CORRESPONDÊNCIA</w:t>
            </w:r>
          </w:p>
        </w:tc>
      </w:tr>
      <w:tr>
        <w:trPr/>
        <w:tc>
          <w:tcPr>
            <w:tcW w:w="35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1</w:t>
            </w:r>
          </w:p>
        </w:tc>
        <w:tc>
          <w:tcPr>
            <w:tcW w:w="5604"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0,2%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2</w:t>
            </w:r>
          </w:p>
        </w:tc>
        <w:tc>
          <w:tcPr>
            <w:tcW w:w="5604"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0,4%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3</w:t>
            </w:r>
          </w:p>
        </w:tc>
        <w:tc>
          <w:tcPr>
            <w:tcW w:w="5604"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0,8%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4</w:t>
            </w:r>
          </w:p>
        </w:tc>
        <w:tc>
          <w:tcPr>
            <w:tcW w:w="5604"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1,6% ao dia sobre o valor mensal do contrato</w:t>
            </w:r>
          </w:p>
        </w:tc>
      </w:tr>
      <w:tr>
        <w:trPr/>
        <w:tc>
          <w:tcPr>
            <w:tcW w:w="35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5</w:t>
            </w:r>
          </w:p>
        </w:tc>
        <w:tc>
          <w:tcPr>
            <w:tcW w:w="5604"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3,2% ao dia sobre o valor mensal do contrato</w:t>
            </w:r>
          </w:p>
        </w:tc>
      </w:tr>
    </w:tbl>
    <w:p>
      <w:pPr>
        <w:pStyle w:val="Normal"/>
        <w:spacing w:lineRule="auto" w:line="276" w:before="120" w:after="120"/>
        <w:ind w:right="-30" w:hanging="0"/>
        <w:jc w:val="center"/>
        <w:rPr>
          <w:rFonts w:cs="Arial"/>
          <w:szCs w:val="20"/>
        </w:rPr>
      </w:pPr>
      <w:r>
        <w:rPr>
          <w:rFonts w:cs="Arial"/>
          <w:b/>
          <w:bCs/>
          <w:szCs w:val="20"/>
        </w:rPr>
        <w:t>Tabela 2</w:t>
      </w:r>
    </w:p>
    <w:tbl>
      <w:tblPr>
        <w:tblW w:w="9180" w:type="dxa"/>
        <w:jc w:val="left"/>
        <w:tblInd w:w="90" w:type="dxa"/>
        <w:tblCellMar>
          <w:top w:w="75" w:type="dxa"/>
          <w:left w:w="75" w:type="dxa"/>
          <w:bottom w:w="75" w:type="dxa"/>
          <w:right w:w="75" w:type="dxa"/>
        </w:tblCellMar>
        <w:tblLook w:firstRow="0" w:noVBand="0" w:lastRow="0" w:firstColumn="0" w:lastColumn="0" w:noHBand="0" w:val="0000"/>
      </w:tblPr>
      <w:tblGrid>
        <w:gridCol w:w="2238"/>
        <w:gridCol w:w="4982"/>
        <w:gridCol w:w="1960"/>
      </w:tblGrid>
      <w:tr>
        <w:trPr>
          <w:trHeight w:val="60" w:hRule="atLeast"/>
        </w:trPr>
        <w:tc>
          <w:tcPr>
            <w:tcW w:w="9180" w:type="dxa"/>
            <w:gridSpan w:val="3"/>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b/>
                <w:bCs/>
                <w:szCs w:val="20"/>
              </w:rPr>
              <w:t>INFRAÇÃO</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b/>
                <w:bCs/>
                <w:szCs w:val="20"/>
              </w:rPr>
              <w:t>ITEM</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b/>
                <w:bCs/>
                <w:szCs w:val="20"/>
              </w:rPr>
              <w:t>DESCRIÇÃO</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b/>
                <w:bCs/>
                <w:szCs w:val="20"/>
              </w:rPr>
              <w:t>GRAU</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1</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Permitir situação que crie a possibilidade de causar dano físico, lesão corporal ou conseqüências letais, por ocorrência;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05</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2</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04</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3</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03</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4</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02</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5</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Retirar funcionários ou encarregados do serviço durante o expediente, sem a anuência prévia do CONTRATANTE, por empregado e por dia;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03</w:t>
            </w:r>
          </w:p>
        </w:tc>
      </w:tr>
      <w:tr>
        <w:trPr>
          <w:trHeight w:val="225" w:hRule="atLeast"/>
        </w:trPr>
        <w:tc>
          <w:tcPr>
            <w:tcW w:w="9180" w:type="dxa"/>
            <w:gridSpan w:val="3"/>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b/>
                <w:bCs/>
                <w:szCs w:val="20"/>
              </w:rPr>
              <w:t>Para os itens a seguir, deixar de:</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6</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Registrar e controlar, diariamente, a assiduidade e a pontualidade de seu pessoal, por funcionário e por dia;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01</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7</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02</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8</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01</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9</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03</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10</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01</w:t>
            </w:r>
          </w:p>
        </w:tc>
      </w:tr>
      <w:tr>
        <w:trPr/>
        <w:tc>
          <w:tcPr>
            <w:tcW w:w="2238"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11</w:t>
            </w:r>
          </w:p>
        </w:tc>
        <w:tc>
          <w:tcPr>
            <w:tcW w:w="4982"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uto" w:line="276" w:before="120" w:after="120"/>
              <w:ind w:right="-30" w:hanging="0"/>
              <w:jc w:val="center"/>
              <w:rPr>
                <w:rFonts w:cs="Arial"/>
                <w:szCs w:val="20"/>
              </w:rPr>
            </w:pPr>
            <w:r>
              <w:rPr>
                <w:rFonts w:cs="Arial"/>
                <w:szCs w:val="20"/>
              </w:rPr>
              <w:t>Providenciar treinamento para seus funcionários conforme previsto na relação de obrigações da CONTRATADA</w:t>
            </w:r>
          </w:p>
        </w:tc>
        <w:tc>
          <w:tcPr>
            <w:tcW w:w="1960"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76" w:before="120" w:after="120"/>
              <w:ind w:right="-30" w:hanging="0"/>
              <w:jc w:val="center"/>
              <w:rPr>
                <w:rFonts w:cs="Arial"/>
                <w:szCs w:val="20"/>
              </w:rPr>
            </w:pPr>
            <w:r>
              <w:rPr>
                <w:rFonts w:cs="Arial"/>
                <w:szCs w:val="20"/>
              </w:rPr>
              <w:t>01</w:t>
            </w:r>
          </w:p>
        </w:tc>
      </w:tr>
    </w:tbl>
    <w:p>
      <w:pPr>
        <w:pStyle w:val="Normal"/>
        <w:numPr>
          <w:ilvl w:val="1"/>
          <w:numId w:val="2"/>
        </w:numPr>
        <w:spacing w:lineRule="auto" w:line="276" w:before="120" w:after="120"/>
        <w:ind w:left="792" w:right="-30" w:hanging="432"/>
        <w:jc w:val="both"/>
        <w:rPr>
          <w:rFonts w:cs="Arial"/>
          <w:szCs w:val="20"/>
        </w:rPr>
      </w:pPr>
      <w:r>
        <w:rPr>
          <w:rFonts w:cs="Arial"/>
          <w:szCs w:val="20"/>
        </w:rPr>
        <w:t>Também ficam sujeitas às penalidades do art. 87, III e IV da Lei nº 8.666, de 1993, as empresas ou profissionais que:</w:t>
      </w:r>
    </w:p>
    <w:p>
      <w:pPr>
        <w:pStyle w:val="Normal"/>
        <w:numPr>
          <w:ilvl w:val="2"/>
          <w:numId w:val="2"/>
        </w:numPr>
        <w:spacing w:lineRule="auto" w:line="276" w:before="120" w:after="120"/>
        <w:ind w:left="1224" w:right="-30" w:hanging="504"/>
        <w:jc w:val="both"/>
        <w:rPr>
          <w:rFonts w:cs="Arial"/>
          <w:szCs w:val="20"/>
        </w:rPr>
      </w:pPr>
      <w:r>
        <w:rPr>
          <w:rFonts w:cs="Arial"/>
          <w:szCs w:val="20"/>
        </w:rPr>
        <w:t>tenham sofrido condenação definitiva por praticar, por meio dolosos, fraude fiscal no recolhimento de quaisquer tributos;</w:t>
      </w:r>
    </w:p>
    <w:p>
      <w:pPr>
        <w:pStyle w:val="Normal"/>
        <w:numPr>
          <w:ilvl w:val="2"/>
          <w:numId w:val="2"/>
        </w:numPr>
        <w:spacing w:lineRule="auto" w:line="276" w:before="120" w:after="120"/>
        <w:ind w:left="1224" w:right="-30" w:hanging="504"/>
        <w:jc w:val="both"/>
        <w:rPr>
          <w:rFonts w:cs="Arial"/>
          <w:szCs w:val="20"/>
        </w:rPr>
      </w:pPr>
      <w:r>
        <w:rPr>
          <w:rFonts w:cs="Arial"/>
          <w:szCs w:val="20"/>
        </w:rPr>
        <w:t>tenham praticado atos ilícitos visando a frustrar os objetivos da licitação;</w:t>
      </w:r>
    </w:p>
    <w:p>
      <w:pPr>
        <w:pStyle w:val="Normal"/>
        <w:numPr>
          <w:ilvl w:val="2"/>
          <w:numId w:val="2"/>
        </w:numPr>
        <w:spacing w:lineRule="auto" w:line="276" w:before="120" w:after="120"/>
        <w:ind w:left="1224" w:right="-30" w:hanging="504"/>
        <w:jc w:val="both"/>
        <w:rPr>
          <w:rFonts w:cs="Arial"/>
          <w:szCs w:val="20"/>
        </w:rPr>
      </w:pPr>
      <w:r>
        <w:rPr>
          <w:rFonts w:cs="Arial"/>
          <w:szCs w:val="20"/>
        </w:rPr>
        <w:t xml:space="preserve">demonstrem não possuir idoneidade para contratar com a Administração em virtude de atos ilícitos praticados. </w:t>
      </w:r>
    </w:p>
    <w:p>
      <w:pPr>
        <w:pStyle w:val="Normal"/>
        <w:numPr>
          <w:ilvl w:val="1"/>
          <w:numId w:val="2"/>
        </w:numPr>
        <w:spacing w:lineRule="auto" w:line="276" w:before="120" w:after="120"/>
        <w:ind w:left="792" w:right="-30" w:hanging="432"/>
        <w:jc w:val="both"/>
        <w:rPr>
          <w:rFonts w:cs="Arial"/>
          <w:szCs w:val="20"/>
        </w:rPr>
      </w:pP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2"/>
        </w:numPr>
        <w:spacing w:lineRule="auto" w:line="276" w:before="120" w:after="120"/>
        <w:ind w:left="792" w:right="-30" w:hanging="432"/>
        <w:jc w:val="both"/>
        <w:rPr/>
      </w:pPr>
      <w:r>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2"/>
          <w:numId w:val="2"/>
        </w:numPr>
        <w:spacing w:lineRule="auto" w:line="276" w:before="120" w:after="120"/>
        <w:ind w:left="1224" w:right="-30" w:hanging="504"/>
        <w:jc w:val="both"/>
        <w:rPr/>
      </w:pPr>
      <w:r>
        <w:rPr>
          <w:szCs w:val="20"/>
        </w:rPr>
        <w:t xml:space="preserve">Caso a Contratante determine, a multa deverá ser recolhida no prazo máximo de </w:t>
      </w:r>
      <w:commentRangeStart w:id="33"/>
      <w:r>
        <w:rPr>
          <w:color w:val="FF0000"/>
          <w:szCs w:val="20"/>
        </w:rPr>
        <w:t>XX</w:t>
      </w:r>
      <w:r>
        <w:rPr>
          <w:szCs w:val="20"/>
        </w:rPr>
        <w:t xml:space="preserve"> (</w:t>
      </w:r>
      <w:r>
        <w:rPr>
          <w:color w:val="FF0000"/>
          <w:szCs w:val="20"/>
        </w:rPr>
        <w:t>XXXX</w:t>
      </w:r>
      <w:r>
        <w:rPr>
          <w:szCs w:val="20"/>
        </w:rPr>
        <w:t>) dias</w:t>
      </w:r>
      <w:permStart w:id="2032551196" w:edGrp="everyone"/>
      <w:r>
        <w:rPr>
          <w:szCs w:val="20"/>
        </w:rPr>
      </w:r>
      <w:permEnd w:id="2032551196"/>
      <w:commentRangeEnd w:id="33"/>
      <w:r>
        <w:commentReference w:id="33"/>
      </w:r>
      <w:r>
        <w:rPr>
          <w:szCs w:val="20"/>
        </w:rPr>
        <w:t>, a contar da data do recebimento da comunicação enviada pela autoridade competente.</w:t>
      </w:r>
    </w:p>
    <w:p>
      <w:pPr>
        <w:pStyle w:val="Normal"/>
        <w:numPr>
          <w:ilvl w:val="1"/>
          <w:numId w:val="2"/>
        </w:numPr>
        <w:spacing w:lineRule="auto" w:line="276" w:before="120" w:after="120"/>
        <w:ind w:left="792" w:right="-30" w:hanging="432"/>
        <w:jc w:val="both"/>
        <w:rPr/>
      </w:pPr>
      <w:r>
        <w:rPr/>
        <w:t xml:space="preserve">Caso o valor da multa não seja suficiente para cobrir os prejuízos causados pela conduta </w:t>
      </w:r>
      <w:r>
        <w:rPr>
          <w:szCs w:val="20"/>
        </w:rPr>
        <w:t>do</w:t>
      </w:r>
      <w:r>
        <w:rPr/>
        <w:t xml:space="preserve"> licitante, a União ou Entidade poderá cobrar o valor remanescente judicialmente, conforme artigo 419 do Código Civil.</w:t>
      </w:r>
    </w:p>
    <w:p>
      <w:pPr>
        <w:pStyle w:val="Normal"/>
        <w:numPr>
          <w:ilvl w:val="1"/>
          <w:numId w:val="2"/>
        </w:numPr>
        <w:spacing w:lineRule="auto" w:line="276" w:before="120" w:after="120"/>
        <w:ind w:left="792" w:right="-30" w:hanging="432"/>
        <w:jc w:val="both"/>
        <w:rPr/>
      </w:pPr>
      <w:r>
        <w:rPr/>
        <w:t>A autoridade competente, na aplicação das sanções, levará em consideração a gravidade da conduta do infrator, o caráter educativo da pena, bem como o dano causado à Administração, observado o princípio da proporcionalidade.</w:t>
      </w:r>
    </w:p>
    <w:p>
      <w:pPr>
        <w:pStyle w:val="Nivel2"/>
        <w:numPr>
          <w:ilvl w:val="1"/>
          <w:numId w:val="2"/>
        </w:numPr>
        <w:rPr>
          <w:rFonts w:ascii="Arial" w:hAnsi="Arial" w:cs="Arial"/>
        </w:rPr>
      </w:pPr>
      <w:r>
        <w:rPr>
          <w:rFonts w:cs="Arial" w:ascii="Arial" w:hAnsi="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numPr>
          <w:ilvl w:val="1"/>
          <w:numId w:val="2"/>
        </w:numPr>
        <w:rPr>
          <w:rFonts w:ascii="Arial" w:hAnsi="Arial" w:cs="Arial"/>
        </w:rPr>
      </w:pPr>
      <w:r>
        <w:rPr>
          <w:rFonts w:cs="Arial" w:ascii="Arial" w:hAnsi="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numPr>
          <w:ilvl w:val="1"/>
          <w:numId w:val="2"/>
        </w:numPr>
        <w:rPr>
          <w:rFonts w:ascii="Arial" w:hAnsi="Arial" w:cs="Arial"/>
        </w:rPr>
      </w:pPr>
      <w:r>
        <w:rPr>
          <w:rFonts w:cs="Arial" w:ascii="Arial" w:hAnsi="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2"/>
        </w:numPr>
        <w:spacing w:lineRule="auto" w:line="276" w:before="120" w:after="120"/>
        <w:ind w:left="792" w:right="-30" w:hanging="432"/>
        <w:jc w:val="both"/>
        <w:rPr>
          <w:rFonts w:cs="Arial"/>
          <w:szCs w:val="20"/>
        </w:rPr>
      </w:pPr>
      <w:r>
        <w:rPr>
          <w:rFonts w:cs="Arial"/>
          <w:szCs w:val="20"/>
        </w:rPr>
        <w:t>As penalidades serão obrigatoriamente registradas no SICAF.</w:t>
      </w:r>
    </w:p>
    <w:p>
      <w:pPr>
        <w:pStyle w:val="Normal"/>
        <w:spacing w:lineRule="auto" w:line="276" w:before="120" w:after="120"/>
        <w:jc w:val="both"/>
        <w:rPr>
          <w:rFonts w:cs="Arial"/>
          <w:i/>
          <w:i/>
          <w:szCs w:val="20"/>
        </w:rPr>
      </w:pPr>
      <w:r>
        <w:rPr>
          <w:rFonts w:cs="Arial"/>
          <w:i/>
          <w:szCs w:val="20"/>
        </w:rPr>
      </w:r>
    </w:p>
    <w:p>
      <w:pPr>
        <w:pStyle w:val="ListParagraph"/>
        <w:numPr>
          <w:ilvl w:val="0"/>
          <w:numId w:val="2"/>
        </w:numPr>
        <w:spacing w:lineRule="auto" w:line="276" w:before="120" w:after="120"/>
        <w:ind w:left="360" w:right="-30" w:hanging="360"/>
        <w:contextualSpacing/>
        <w:jc w:val="both"/>
        <w:rPr>
          <w:rFonts w:cs="Arial"/>
          <w:b/>
          <w:b/>
          <w:bCs/>
          <w:szCs w:val="20"/>
        </w:rPr>
      </w:pPr>
      <w:r>
        <w:rPr>
          <w:rFonts w:cs="Arial"/>
          <w:b/>
          <w:bCs/>
          <w:szCs w:val="20"/>
        </w:rPr>
        <w:t>CRITÉRIOS DE SELEÇÃO DO FORNECEDOR.</w:t>
      </w:r>
    </w:p>
    <w:p>
      <w:pPr>
        <w:pStyle w:val="Normal"/>
        <w:numPr>
          <w:ilvl w:val="1"/>
          <w:numId w:val="2"/>
        </w:numPr>
        <w:spacing w:lineRule="auto" w:line="276" w:before="120" w:after="120"/>
        <w:ind w:left="792" w:right="-30" w:hanging="432"/>
        <w:jc w:val="both"/>
        <w:rPr>
          <w:rFonts w:cs="Arial"/>
          <w:szCs w:val="20"/>
        </w:rPr>
      </w:pPr>
      <w:r>
        <w:rPr>
          <w:rFonts w:cs="Arial"/>
          <w:szCs w:val="20"/>
        </w:rPr>
        <w:t>As exigências de habilitação jurídica e de regularidade fiscal e trabalhista são as usuais para a generalidade dos objetos, conforme disciplinado no edital.</w:t>
      </w:r>
    </w:p>
    <w:p>
      <w:pPr>
        <w:pStyle w:val="Normal"/>
        <w:numPr>
          <w:ilvl w:val="1"/>
          <w:numId w:val="2"/>
        </w:numPr>
        <w:spacing w:lineRule="auto" w:line="276" w:before="120" w:after="120"/>
        <w:ind w:left="792" w:right="-30" w:hanging="432"/>
        <w:jc w:val="both"/>
        <w:rPr>
          <w:rFonts w:cs="Arial"/>
          <w:szCs w:val="20"/>
        </w:rPr>
      </w:pPr>
      <w:r>
        <w:rPr>
          <w:rFonts w:cs="Arial"/>
          <w:szCs w:val="20"/>
        </w:rPr>
        <w:t>Os critérios de qualificação econômica a serem atendidos pelo fornecedor estão previstos no edital.</w:t>
      </w:r>
    </w:p>
    <w:p>
      <w:pPr>
        <w:pStyle w:val="Normal"/>
        <w:numPr>
          <w:ilvl w:val="1"/>
          <w:numId w:val="2"/>
        </w:numPr>
        <w:spacing w:lineRule="auto" w:line="276" w:before="120" w:after="120"/>
        <w:ind w:left="792" w:right="-30" w:hanging="432"/>
        <w:jc w:val="both"/>
        <w:rPr>
          <w:rFonts w:cs="Arial"/>
          <w:szCs w:val="20"/>
        </w:rPr>
      </w:pPr>
      <w:r>
        <w:rPr>
          <w:rFonts w:cs="Arial"/>
          <w:szCs w:val="20"/>
        </w:rPr>
        <w:t>Os critérios de qualificação técnica a serem atendidos pelo fornecedor serão:</w:t>
      </w:r>
    </w:p>
    <w:p>
      <w:pPr>
        <w:pStyle w:val="Normal"/>
        <w:numPr>
          <w:ilvl w:val="2"/>
          <w:numId w:val="2"/>
        </w:numPr>
        <w:spacing w:lineRule="auto" w:line="276" w:before="120" w:after="120"/>
        <w:ind w:left="1224" w:right="-30" w:hanging="504"/>
        <w:jc w:val="both"/>
        <w:rPr>
          <w:rFonts w:cs="Arial"/>
          <w:b/>
          <w:b/>
          <w:bCs/>
          <w:szCs w:val="20"/>
        </w:rPr>
      </w:pPr>
      <w:permStart w:id="439383618" w:edGrp="everyone"/>
      <w:r>
        <w:rPr>
          <w:rFonts w:cs="Arial"/>
          <w:szCs w:val="20"/>
        </w:rPr>
        <w:t>(...)</w:t>
      </w:r>
      <w:permEnd w:id="439383618"/>
    </w:p>
    <w:p>
      <w:pPr>
        <w:pStyle w:val="Normal"/>
        <w:numPr>
          <w:ilvl w:val="1"/>
          <w:numId w:val="2"/>
        </w:numPr>
        <w:spacing w:lineRule="auto" w:line="276" w:before="120" w:after="120"/>
        <w:ind w:left="792" w:right="-30" w:hanging="432"/>
        <w:jc w:val="both"/>
        <w:rPr>
          <w:i/>
          <w:i/>
          <w:color w:val="FF0000"/>
          <w:szCs w:val="20"/>
        </w:rPr>
      </w:pPr>
      <w:commentRangeStart w:id="34"/>
      <w:r>
        <w:rPr>
          <w:i/>
          <w:color w:val="FF0000"/>
          <w:szCs w:val="20"/>
        </w:rPr>
        <w:t>O critério de aceitabilidade de preços é sigiloso, nos termos do art. 15 do Decreto nº 10.024, de 2019, do art. 7º, §3º da Lei nº 12.527, de 2011, e do art. 20 do Decreto nº 7.724, de 2012.</w:t>
      </w:r>
    </w:p>
    <w:p>
      <w:pPr>
        <w:pStyle w:val="Normal"/>
        <w:spacing w:lineRule="auto" w:line="276" w:before="120" w:after="120"/>
        <w:ind w:right="-30" w:hanging="0"/>
        <w:jc w:val="both"/>
        <w:rPr>
          <w:b/>
          <w:b/>
          <w:i/>
          <w:i/>
          <w:color w:val="FF0000"/>
          <w:szCs w:val="20"/>
          <w:u w:val="single"/>
        </w:rPr>
      </w:pPr>
      <w:r>
        <w:rPr>
          <w:b/>
          <w:i/>
          <w:color w:val="FF0000"/>
          <w:szCs w:val="20"/>
          <w:u w:val="single"/>
        </w:rPr>
        <w:t>OU</w:t>
      </w:r>
    </w:p>
    <w:p>
      <w:pPr>
        <w:pStyle w:val="Normal"/>
        <w:numPr>
          <w:ilvl w:val="1"/>
          <w:numId w:val="9"/>
        </w:numPr>
        <w:spacing w:lineRule="auto" w:line="276" w:before="120" w:after="120"/>
        <w:ind w:left="792" w:right="-30" w:hanging="432"/>
        <w:jc w:val="both"/>
        <w:rPr>
          <w:rFonts w:cs="Arial"/>
          <w:i/>
          <w:i/>
          <w:color w:val="FF0000"/>
          <w:szCs w:val="20"/>
        </w:rPr>
      </w:pPr>
      <w:r>
        <w:rPr>
          <w:i/>
          <w:color w:val="FF0000"/>
          <w:szCs w:val="20"/>
        </w:rPr>
        <w:t>Os</w:t>
      </w:r>
      <w:r>
        <w:rPr>
          <w:rFonts w:cs="Arial"/>
          <w:i/>
          <w:color w:val="FF0000"/>
          <w:szCs w:val="20"/>
        </w:rPr>
        <w:t xml:space="preserve"> critérios de aceitabilidade de preços serão:</w:t>
      </w:r>
    </w:p>
    <w:p>
      <w:pPr>
        <w:pStyle w:val="Normal"/>
        <w:numPr>
          <w:ilvl w:val="2"/>
          <w:numId w:val="9"/>
        </w:numPr>
        <w:spacing w:lineRule="auto" w:line="276" w:before="120" w:after="120"/>
        <w:ind w:left="1224" w:right="-30" w:hanging="504"/>
        <w:jc w:val="both"/>
        <w:rPr>
          <w:i/>
          <w:i/>
          <w:color w:val="FF0000"/>
          <w:szCs w:val="20"/>
        </w:rPr>
      </w:pPr>
      <w:r>
        <w:rPr>
          <w:rFonts w:cs="Arial"/>
          <w:i/>
          <w:color w:val="FF0000"/>
          <w:szCs w:val="20"/>
        </w:rPr>
        <w:t>Valor Global: R$xxx,000 (</w:t>
      </w:r>
      <w:r>
        <w:rPr>
          <w:i/>
          <w:color w:val="FF0000"/>
          <w:szCs w:val="20"/>
        </w:rPr>
        <w:t>indicar por extenso)</w:t>
      </w:r>
    </w:p>
    <w:p>
      <w:pPr>
        <w:pStyle w:val="Normal"/>
        <w:numPr>
          <w:ilvl w:val="2"/>
          <w:numId w:val="9"/>
        </w:numPr>
        <w:spacing w:lineRule="auto" w:line="276" w:before="120" w:after="120"/>
        <w:ind w:left="1224" w:right="-30" w:hanging="504"/>
        <w:jc w:val="both"/>
        <w:rPr>
          <w:rFonts w:cs="Arial"/>
          <w:i/>
          <w:i/>
          <w:color w:val="FF0000"/>
          <w:szCs w:val="20"/>
        </w:rPr>
      </w:pPr>
      <w:r>
        <w:rPr>
          <w:i/>
          <w:color w:val="FF0000"/>
          <w:szCs w:val="20"/>
        </w:rPr>
        <w:t>Valores unitários: conforme planilha de</w:t>
      </w:r>
      <w:r>
        <w:rPr>
          <w:rFonts w:cs="Arial"/>
          <w:i/>
          <w:color w:val="FF0000"/>
          <w:szCs w:val="20"/>
        </w:rPr>
        <w:t xml:space="preserve"> composição de preços anexa ao edital.</w:t>
      </w:r>
      <w:permStart w:id="1990675770" w:edGrp="everyone"/>
      <w:commentRangeEnd w:id="34"/>
      <w:r>
        <w:commentReference w:id="34"/>
      </w:r>
      <w:r>
        <w:rPr>
          <w:rFonts w:cs="Arial"/>
          <w:i/>
          <w:color w:val="FF0000"/>
          <w:szCs w:val="20"/>
        </w:rPr>
      </w:r>
      <w:permEnd w:id="1990675770"/>
    </w:p>
    <w:p>
      <w:pPr>
        <w:pStyle w:val="Normal"/>
        <w:spacing w:lineRule="auto" w:line="276" w:before="120" w:after="120"/>
        <w:ind w:right="-30" w:hanging="0"/>
        <w:jc w:val="both"/>
        <w:rPr>
          <w:rFonts w:cs="Arial"/>
          <w:b/>
          <w:b/>
          <w:bCs/>
          <w:szCs w:val="20"/>
        </w:rPr>
      </w:pPr>
      <w:r>
        <w:rPr>
          <w:rFonts w:cs="Arial"/>
          <w:b/>
          <w:bCs/>
          <w:szCs w:val="20"/>
        </w:rPr>
      </w:r>
    </w:p>
    <w:p>
      <w:pPr>
        <w:pStyle w:val="Normal"/>
        <w:numPr>
          <w:ilvl w:val="1"/>
          <w:numId w:val="2"/>
        </w:numPr>
        <w:spacing w:lineRule="auto" w:line="276" w:before="120" w:after="120"/>
        <w:ind w:left="792" w:right="-30" w:hanging="432"/>
        <w:jc w:val="both"/>
        <w:rPr>
          <w:rFonts w:cs="Arial"/>
          <w:szCs w:val="20"/>
        </w:rPr>
      </w:pPr>
      <w:r>
        <w:rPr>
          <w:rFonts w:cs="Arial"/>
          <w:szCs w:val="20"/>
        </w:rPr>
        <w:t>O critério de julgamento da proposta é o menor preço global.</w:t>
      </w:r>
    </w:p>
    <w:p>
      <w:pPr>
        <w:pStyle w:val="Normal"/>
        <w:numPr>
          <w:ilvl w:val="1"/>
          <w:numId w:val="2"/>
        </w:numPr>
        <w:spacing w:lineRule="auto" w:line="276" w:before="120" w:after="120"/>
        <w:ind w:left="792" w:right="-30" w:hanging="432"/>
        <w:jc w:val="both"/>
        <w:rPr>
          <w:rFonts w:cs="Arial"/>
          <w:szCs w:val="20"/>
        </w:rPr>
      </w:pPr>
      <w:r>
        <w:rPr>
          <w:rFonts w:cs="Arial"/>
          <w:szCs w:val="20"/>
        </w:rPr>
        <w:t>As regras de desempate entre propostas são as discriminadas no edital.</w:t>
      </w:r>
    </w:p>
    <w:p>
      <w:pPr>
        <w:pStyle w:val="Normal"/>
        <w:spacing w:lineRule="auto" w:line="276" w:before="0" w:after="120"/>
        <w:ind w:left="432" w:right="-17" w:hanging="0"/>
        <w:jc w:val="both"/>
        <w:rPr>
          <w:rFonts w:cs="Arial"/>
          <w:b/>
          <w:b/>
          <w:szCs w:val="20"/>
        </w:rPr>
      </w:pPr>
      <w:r>
        <w:rPr>
          <w:rFonts w:cs="Arial"/>
          <w:b/>
          <w:szCs w:val="20"/>
        </w:rPr>
      </w:r>
    </w:p>
    <w:p>
      <w:pPr>
        <w:pStyle w:val="ListParagraph"/>
        <w:numPr>
          <w:ilvl w:val="0"/>
          <w:numId w:val="2"/>
        </w:numPr>
        <w:spacing w:lineRule="auto" w:line="276" w:before="120" w:after="120"/>
        <w:ind w:left="360" w:right="-30" w:hanging="360"/>
        <w:contextualSpacing/>
        <w:jc w:val="both"/>
        <w:rPr>
          <w:rFonts w:cs="Arial"/>
          <w:b/>
          <w:b/>
          <w:bCs/>
          <w:szCs w:val="20"/>
        </w:rPr>
      </w:pPr>
      <w:commentRangeStart w:id="35"/>
      <w:r>
        <w:rPr>
          <w:rFonts w:cs="Arial"/>
          <w:b/>
          <w:bCs/>
          <w:szCs w:val="20"/>
        </w:rPr>
        <w:t>ESTIMATIVA DE PREÇOS E PREÇOS REFERENCIAIS</w:t>
      </w:r>
      <w:r>
        <w:rPr>
          <w:rFonts w:cs="Arial"/>
          <w:b/>
          <w:bCs/>
          <w:szCs w:val="20"/>
        </w:rPr>
      </w:r>
      <w:commentRangeEnd w:id="35"/>
      <w:r>
        <w:commentReference w:id="35"/>
      </w:r>
      <w:r>
        <w:rPr>
          <w:rFonts w:cs="Arial"/>
          <w:b/>
          <w:bCs/>
          <w:szCs w:val="20"/>
        </w:rPr>
        <w:t>.</w:t>
      </w:r>
    </w:p>
    <w:p>
      <w:pPr>
        <w:pStyle w:val="Normal"/>
        <w:numPr>
          <w:ilvl w:val="1"/>
          <w:numId w:val="2"/>
        </w:numPr>
        <w:spacing w:lineRule="auto" w:line="276" w:before="120" w:after="120"/>
        <w:ind w:left="792" w:right="-30" w:hanging="432"/>
        <w:jc w:val="both"/>
        <w:rPr>
          <w:i/>
          <w:i/>
          <w:color w:val="FF0000"/>
          <w:highlight w:val="yellow"/>
        </w:rPr>
      </w:pPr>
      <w:commentRangeStart w:id="36"/>
      <w:r>
        <w:rPr>
          <w:i/>
          <w:color w:val="FF0000"/>
          <w:highlight w:val="yellow"/>
        </w:rPr>
        <w:t>O custo estimado da contratação será tornado público apenas e imediatamente após o encerramento do envio de lances..</w:t>
      </w:r>
      <w:commentRangeEnd w:id="36"/>
      <w:r>
        <w:commentReference w:id="36"/>
      </w:r>
      <w:r>
        <w:rPr>
          <w:i/>
          <w:color w:val="FF0000"/>
          <w:highlight w:val="yellow"/>
        </w:rPr>
      </w:r>
    </w:p>
    <w:p>
      <w:pPr>
        <w:pStyle w:val="Normal"/>
        <w:spacing w:lineRule="auto" w:line="276" w:before="120" w:after="120"/>
        <w:ind w:right="-30" w:hanging="0"/>
        <w:jc w:val="both"/>
        <w:rPr>
          <w:b/>
          <w:b/>
          <w:i/>
          <w:i/>
          <w:color w:val="FF0000"/>
          <w:highlight w:val="yellow"/>
        </w:rPr>
      </w:pPr>
      <w:r>
        <w:rPr>
          <w:b/>
          <w:i/>
          <w:color w:val="FF0000"/>
          <w:highlight w:val="yellow"/>
        </w:rPr>
        <w:t>OU</w:t>
      </w:r>
    </w:p>
    <w:p>
      <w:pPr>
        <w:pStyle w:val="ListParagraph"/>
        <w:numPr>
          <w:ilvl w:val="0"/>
          <w:numId w:val="8"/>
        </w:numPr>
        <w:spacing w:lineRule="auto" w:line="276" w:before="120" w:after="120"/>
        <w:ind w:left="360" w:right="-30" w:hanging="360"/>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jc w:val="both"/>
        <w:rPr>
          <w:i/>
          <w:i/>
          <w:vanish/>
          <w:color w:val="FF0000"/>
          <w:highlight w:val="yellow"/>
        </w:rPr>
      </w:pPr>
      <w:r>
        <w:rPr>
          <w:i/>
          <w:vanish/>
          <w:color w:val="FF0000"/>
          <w:highlight w:val="yellow"/>
        </w:rPr>
      </w:r>
    </w:p>
    <w:p>
      <w:pPr>
        <w:pStyle w:val="ListParagraph"/>
        <w:numPr>
          <w:ilvl w:val="0"/>
          <w:numId w:val="8"/>
        </w:numPr>
        <w:spacing w:lineRule="auto" w:line="276" w:before="120" w:after="120"/>
        <w:ind w:left="360" w:right="-30" w:hanging="360"/>
        <w:jc w:val="both"/>
        <w:rPr>
          <w:i/>
          <w:i/>
          <w:vanish/>
          <w:color w:val="FF0000"/>
          <w:highlight w:val="yellow"/>
        </w:rPr>
      </w:pPr>
      <w:r>
        <w:rPr>
          <w:i/>
          <w:vanish/>
          <w:color w:val="FF0000"/>
          <w:highlight w:val="yellow"/>
        </w:rPr>
      </w:r>
    </w:p>
    <w:p>
      <w:pPr>
        <w:pStyle w:val="Normal"/>
        <w:numPr>
          <w:ilvl w:val="1"/>
          <w:numId w:val="8"/>
        </w:numPr>
        <w:spacing w:lineRule="auto" w:line="276" w:before="120" w:after="120"/>
        <w:ind w:left="792" w:right="-30" w:hanging="432"/>
        <w:jc w:val="both"/>
        <w:rPr>
          <w:i/>
          <w:i/>
          <w:color w:val="FF0000"/>
          <w:highlight w:val="yellow"/>
        </w:rPr>
      </w:pPr>
      <w:r>
        <w:rPr>
          <w:i/>
          <w:color w:val="FF0000"/>
          <w:highlight w:val="yellow"/>
        </w:rPr>
        <w:t>O custo estimado da contratação é de R$...</w:t>
      </w:r>
    </w:p>
    <w:p>
      <w:pPr>
        <w:pStyle w:val="Normal"/>
        <w:spacing w:lineRule="auto" w:line="276" w:before="120" w:after="120"/>
        <w:ind w:right="-30" w:hanging="0"/>
        <w:jc w:val="both"/>
        <w:rPr>
          <w:b/>
          <w:b/>
          <w:i/>
          <w:i/>
          <w:color w:val="FF0000"/>
          <w:highlight w:val="yellow"/>
        </w:rPr>
      </w:pPr>
      <w:r>
        <w:rPr>
          <w:b/>
          <w:i/>
          <w:color w:val="FF0000"/>
          <w:highlight w:val="yellow"/>
        </w:rPr>
        <w:t>OU</w:t>
      </w:r>
    </w:p>
    <w:p>
      <w:pPr>
        <w:pStyle w:val="Normal"/>
        <w:numPr>
          <w:ilvl w:val="1"/>
          <w:numId w:val="7"/>
        </w:numPr>
        <w:spacing w:lineRule="auto" w:line="276" w:before="120" w:after="120"/>
        <w:ind w:left="792" w:right="-30" w:hanging="432"/>
        <w:jc w:val="both"/>
        <w:rPr>
          <w:i/>
          <w:i/>
          <w:color w:val="FF0000"/>
          <w:highlight w:val="yellow"/>
        </w:rPr>
      </w:pPr>
      <w:commentRangeStart w:id="37"/>
      <w:r>
        <w:rPr>
          <w:i/>
          <w:color w:val="FF0000"/>
          <w:highlight w:val="yellow"/>
        </w:rPr>
        <w:t xml:space="preserve">O (valor de referência </w:t>
      </w:r>
      <w:r>
        <w:rPr>
          <w:b/>
          <w:i/>
          <w:color w:val="FF0000"/>
          <w:highlight w:val="yellow"/>
        </w:rPr>
        <w:t>ou</w:t>
      </w:r>
      <w:r>
        <w:rPr>
          <w:i/>
          <w:color w:val="FF0000"/>
          <w:highlight w:val="yellow"/>
        </w:rPr>
        <w:t xml:space="preserve"> valor máximo aceitável) para a contratação, para fins de aplicação do maior desconto, será ...</w:t>
      </w:r>
      <w:permStart w:id="565918584" w:edGrp="everyone"/>
      <w:commentRangeEnd w:id="37"/>
      <w:r>
        <w:commentReference w:id="37"/>
      </w:r>
      <w:r>
        <w:rPr>
          <w:i/>
          <w:color w:val="FF0000"/>
          <w:highlight w:val="yellow"/>
        </w:rPr>
      </w:r>
      <w:permEnd w:id="565918584"/>
    </w:p>
    <w:p>
      <w:pPr>
        <w:pStyle w:val="Normal"/>
        <w:spacing w:lineRule="auto" w:line="276" w:before="0" w:after="120"/>
        <w:ind w:left="432" w:right="-17" w:hanging="0"/>
        <w:jc w:val="both"/>
        <w:rPr>
          <w:rFonts w:cs="Arial"/>
          <w:b/>
          <w:b/>
          <w:szCs w:val="20"/>
          <w:lang w:val="x-none"/>
        </w:rPr>
      </w:pPr>
      <w:r>
        <w:rPr>
          <w:rFonts w:cs="Arial"/>
          <w:b/>
          <w:szCs w:val="20"/>
          <w:lang w:val="x-none"/>
        </w:rPr>
      </w:r>
    </w:p>
    <w:p>
      <w:pPr>
        <w:pStyle w:val="ListParagraph"/>
        <w:numPr>
          <w:ilvl w:val="0"/>
          <w:numId w:val="2"/>
        </w:numPr>
        <w:spacing w:lineRule="auto" w:line="276" w:before="120" w:after="120"/>
        <w:ind w:left="360" w:right="-30" w:hanging="360"/>
        <w:contextualSpacing/>
        <w:jc w:val="both"/>
        <w:rPr>
          <w:rFonts w:cs="Arial"/>
          <w:b/>
          <w:b/>
          <w:bCs/>
          <w:szCs w:val="20"/>
        </w:rPr>
      </w:pPr>
      <w:r>
        <w:rPr>
          <w:rFonts w:cs="Arial"/>
          <w:b/>
          <w:bCs/>
          <w:szCs w:val="20"/>
        </w:rPr>
        <w:t>DOS RECURSOS ORÇAMENTÁRIOS.</w:t>
      </w:r>
    </w:p>
    <w:p>
      <w:pPr>
        <w:pStyle w:val="Normal"/>
        <w:spacing w:lineRule="auto" w:line="276" w:before="120" w:after="120"/>
        <w:ind w:right="-30" w:hanging="0"/>
        <w:jc w:val="both"/>
        <w:rPr>
          <w:rFonts w:cs="Arial"/>
          <w:b/>
          <w:b/>
          <w:bCs/>
          <w:szCs w:val="20"/>
        </w:rPr>
      </w:pPr>
      <w:r>
        <w:rPr>
          <w:rFonts w:cs="Arial"/>
          <w:b/>
          <w:bCs/>
          <w:szCs w:val="20"/>
        </w:rPr>
      </w:r>
    </w:p>
    <w:p>
      <w:pPr>
        <w:pStyle w:val="ListParagraph"/>
        <w:numPr>
          <w:ilvl w:val="1"/>
          <w:numId w:val="2"/>
        </w:numPr>
        <w:spacing w:lineRule="auto" w:line="276" w:before="120" w:after="120"/>
        <w:ind w:left="792" w:right="-30" w:hanging="432"/>
        <w:contextualSpacing/>
        <w:jc w:val="both"/>
        <w:rPr>
          <w:rFonts w:cs="Arial"/>
          <w:b/>
          <w:b/>
          <w:bCs/>
          <w:szCs w:val="20"/>
        </w:rPr>
      </w:pPr>
      <w:commentRangeStart w:id="38"/>
      <w:r>
        <w:rPr>
          <w:rFonts w:cs="Arial"/>
          <w:szCs w:val="20"/>
        </w:rPr>
        <w:t xml:space="preserve">(Indicar a </w:t>
      </w:r>
      <w:r>
        <w:rPr>
          <w:rFonts w:cs="Arial"/>
          <w:bCs/>
          <w:szCs w:val="20"/>
        </w:rPr>
        <w:t>dotação</w:t>
      </w:r>
      <w:r>
        <w:rPr>
          <w:rFonts w:cs="Arial"/>
          <w:szCs w:val="20"/>
        </w:rPr>
        <w:t xml:space="preserve"> orçamentária da contratação, </w:t>
      </w:r>
      <w:bookmarkStart w:id="1" w:name="_GoBack"/>
      <w:r>
        <w:rPr>
          <w:rFonts w:cs="Arial"/>
          <w:b/>
          <w:szCs w:val="20"/>
        </w:rPr>
        <w:t>EXCETO SE FOR SRP</w:t>
      </w:r>
      <w:bookmarkEnd w:id="1"/>
      <w:r>
        <w:rPr>
          <w:rFonts w:cs="Arial"/>
          <w:szCs w:val="20"/>
        </w:rPr>
        <w:t>.)</w:t>
      </w:r>
      <w:commentRangeEnd w:id="38"/>
      <w:r>
        <w:commentReference w:id="38"/>
      </w:r>
      <w:r>
        <w:rPr>
          <w:rFonts w:cs="Arial"/>
          <w:szCs w:val="20"/>
        </w:rPr>
      </w:r>
    </w:p>
    <w:p>
      <w:pPr>
        <w:pStyle w:val="Normal"/>
        <w:spacing w:lineRule="auto" w:line="276" w:before="120" w:after="120"/>
        <w:jc w:val="both"/>
        <w:rPr>
          <w:rFonts w:cs="Arial"/>
          <w:szCs w:val="20"/>
        </w:rPr>
      </w:pPr>
      <w:r>
        <w:rPr>
          <w:rFonts w:cs="Arial"/>
          <w:szCs w:val="20"/>
        </w:rPr>
      </w:r>
    </w:p>
    <w:p>
      <w:pPr>
        <w:pStyle w:val="Normal"/>
        <w:spacing w:lineRule="auto" w:line="276" w:before="120" w:after="120"/>
        <w:ind w:left="425" w:hanging="0"/>
        <w:jc w:val="both"/>
        <w:rPr>
          <w:rFonts w:cs="Arial"/>
          <w:i/>
          <w:i/>
          <w:szCs w:val="20"/>
        </w:rPr>
      </w:pPr>
      <w:r>
        <w:rPr>
          <w:rFonts w:cs="Arial"/>
          <w:i/>
          <w:szCs w:val="20"/>
        </w:rPr>
      </w:r>
    </w:p>
    <w:p>
      <w:pPr>
        <w:pStyle w:val="Normal"/>
        <w:spacing w:before="0" w:after="360"/>
        <w:ind w:left="360" w:hanging="0"/>
        <w:rPr>
          <w:rFonts w:cs="Arial"/>
          <w:szCs w:val="20"/>
        </w:rPr>
      </w:pPr>
      <w:r>
        <w:rPr>
          <w:rFonts w:cs="Arial"/>
          <w:szCs w:val="20"/>
        </w:rPr>
        <w:t xml:space="preserve">Município do Rio de Janeiro, </w:t>
      </w:r>
      <w:permStart w:id="140191479" w:edGrp="everyone"/>
      <w:r>
        <w:rPr>
          <w:rFonts w:cs="Arial"/>
          <w:color w:val="FF0000"/>
          <w:szCs w:val="20"/>
        </w:rPr>
        <w:t>.......</w:t>
      </w:r>
      <w:r>
        <w:rPr>
          <w:rFonts w:cs="Arial"/>
          <w:szCs w:val="20"/>
        </w:rPr>
        <w:t xml:space="preserve"> </w:t>
      </w:r>
      <w:r>
        <w:rPr>
          <w:rFonts w:cs="Arial"/>
          <w:szCs w:val="20"/>
        </w:rPr>
        <w:t xml:space="preserve">de </w:t>
      </w:r>
      <w:permEnd w:id="140191479"/>
      <w:permStart w:id="1888092802" w:edGrp="everyone"/>
      <w:r>
        <w:rPr>
          <w:rFonts w:cs="Arial"/>
          <w:color w:val="FF0000"/>
          <w:szCs w:val="20"/>
        </w:rPr>
        <w:t>.........</w:t>
      </w:r>
      <w:r>
        <w:rPr>
          <w:rFonts w:cs="Arial"/>
          <w:szCs w:val="20"/>
        </w:rPr>
        <w:t xml:space="preserve"> </w:t>
      </w:r>
      <w:r>
        <w:rPr>
          <w:rFonts w:cs="Arial"/>
          <w:szCs w:val="20"/>
        </w:rPr>
        <w:t xml:space="preserve">de </w:t>
      </w:r>
      <w:permEnd w:id="1888092802"/>
      <w:permStart w:id="1073746399" w:edGrp="everyone"/>
      <w:r>
        <w:rPr>
          <w:rFonts w:cs="Arial"/>
          <w:color w:val="FF0000"/>
          <w:szCs w:val="20"/>
        </w:rPr>
        <w:t xml:space="preserve">.......... </w:t>
      </w:r>
      <w:permEnd w:id="1073746399"/>
    </w:p>
    <w:p>
      <w:pPr>
        <w:pStyle w:val="Normal"/>
        <w:spacing w:before="0" w:after="360"/>
        <w:ind w:left="360" w:hanging="0"/>
        <w:rPr>
          <w:rFonts w:cs="Arial"/>
          <w:szCs w:val="20"/>
        </w:rPr>
      </w:pPr>
      <w:r>
        <w:rPr>
          <w:rFonts w:cs="Arial"/>
          <w:szCs w:val="20"/>
        </w:rPr>
        <w:t>__________________________________</w:t>
      </w:r>
    </w:p>
    <w:p>
      <w:pPr>
        <w:pStyle w:val="Normal"/>
        <w:spacing w:before="0" w:after="360"/>
        <w:ind w:left="360" w:hanging="0"/>
        <w:rPr>
          <w:rFonts w:cs="Arial"/>
          <w:szCs w:val="20"/>
        </w:rPr>
      </w:pPr>
      <w:commentRangeStart w:id="39"/>
      <w:r>
        <w:rPr>
          <w:rFonts w:cs="Arial"/>
          <w:szCs w:val="20"/>
        </w:rPr>
        <w:t>Identificação e assinatura do servidor (ou equipe) responsável</w:t>
      </w:r>
      <w:permStart w:id="1007357336" w:edGrp="everyone"/>
      <w:commentRangeEnd w:id="39"/>
      <w:r>
        <w:commentReference w:id="39"/>
      </w:r>
      <w:r>
        <w:rPr>
          <w:rFonts w:cs="Arial"/>
          <w:szCs w:val="20"/>
        </w:rPr>
      </w:r>
      <w:permEnd w:id="1007357336"/>
    </w:p>
    <w:p>
      <w:pPr>
        <w:pStyle w:val="ListParagraph"/>
        <w:spacing w:lineRule="auto" w:line="276" w:before="120" w:after="120"/>
        <w:ind w:left="360" w:right="-30" w:hanging="0"/>
        <w:contextualSpacing/>
        <w:jc w:val="both"/>
        <w:rPr>
          <w:rFonts w:cs="Arial"/>
          <w:b/>
          <w:b/>
          <w:bCs/>
          <w:szCs w:val="20"/>
        </w:rPr>
      </w:pPr>
      <w:r>
        <w:rPr>
          <w:rFonts w:cs="Arial"/>
          <w:b/>
          <w:bCs/>
          <w:szCs w:val="20"/>
        </w:rPr>
      </w:r>
    </w:p>
    <w:p>
      <w:pPr>
        <w:pStyle w:val="ListParagraph"/>
        <w:numPr>
          <w:ilvl w:val="0"/>
          <w:numId w:val="2"/>
        </w:numPr>
        <w:spacing w:lineRule="auto" w:line="276" w:before="120" w:after="120"/>
        <w:ind w:left="360" w:right="-30" w:hanging="360"/>
        <w:contextualSpacing/>
        <w:jc w:val="both"/>
        <w:rPr>
          <w:rFonts w:cs="Arial"/>
          <w:b/>
          <w:b/>
          <w:bCs/>
          <w:szCs w:val="20"/>
        </w:rPr>
      </w:pPr>
      <w:commentRangeStart w:id="40"/>
      <w:r>
        <w:rPr>
          <w:rFonts w:cs="Arial"/>
          <w:b/>
          <w:szCs w:val="20"/>
        </w:rPr>
        <w:t xml:space="preserve">INÍCIO DA EXECUÇÃO DOS SERVIÇOS </w:t>
      </w:r>
      <w:commentRangeEnd w:id="40"/>
      <w:r>
        <w:commentReference w:id="40"/>
      </w:r>
      <w:r>
        <w:rPr>
          <w:rFonts w:cs="Arial"/>
          <w:b/>
          <w:szCs w:val="20"/>
        </w:rPr>
      </w:r>
    </w:p>
    <w:p>
      <w:pPr>
        <w:pStyle w:val="Normal"/>
        <w:numPr>
          <w:ilvl w:val="1"/>
          <w:numId w:val="2"/>
        </w:numPr>
        <w:spacing w:lineRule="auto" w:line="276" w:before="120" w:after="120"/>
        <w:jc w:val="both"/>
        <w:rPr>
          <w:rFonts w:cs="Arial"/>
          <w:color w:val="000000"/>
          <w:szCs w:val="20"/>
        </w:rPr>
      </w:pPr>
      <w:r>
        <w:rPr>
          <w:rFonts w:cs="Arial"/>
          <w:color w:val="000000"/>
          <w:szCs w:val="20"/>
        </w:rPr>
        <w:t xml:space="preserve">A execução dos serviços será iniciada </w:t>
      </w:r>
      <w:permStart w:id="466691127" w:edGrp="everyone"/>
      <w:r>
        <w:rPr>
          <w:rFonts w:cs="Arial"/>
          <w:color w:val="FF0000"/>
          <w:szCs w:val="20"/>
        </w:rPr>
        <w:t>................................. (indicar a data ou evento para o início dos serviços)</w:t>
      </w:r>
      <w:r>
        <w:rPr>
          <w:rFonts w:cs="Arial"/>
          <w:color w:val="000000"/>
          <w:szCs w:val="20"/>
        </w:rPr>
        <w:t>, na forma que segue:</w:t>
      </w:r>
      <w:permEnd w:id="466691127"/>
    </w:p>
    <w:p>
      <w:pPr>
        <w:pStyle w:val="ListParagraph"/>
        <w:numPr>
          <w:ilvl w:val="2"/>
          <w:numId w:val="2"/>
        </w:numPr>
        <w:spacing w:lineRule="auto" w:line="276" w:before="120" w:after="120"/>
        <w:jc w:val="both"/>
        <w:rPr>
          <w:rFonts w:cs="Arial"/>
          <w:i/>
          <w:i/>
          <w:color w:val="FF0000"/>
          <w:szCs w:val="20"/>
        </w:rPr>
      </w:pPr>
      <w:permStart w:id="35349123" w:edGrp="everyone"/>
      <w:r>
        <w:rPr>
          <w:rFonts w:cs="Arial"/>
          <w:i/>
          <w:color w:val="FF0000"/>
          <w:szCs w:val="20"/>
        </w:rPr>
        <w:t>.......</w:t>
      </w:r>
      <w:permEnd w:id="35349123"/>
    </w:p>
    <w:p>
      <w:pPr>
        <w:pStyle w:val="Normal"/>
        <w:spacing w:lineRule="auto" w:line="276" w:before="120" w:after="120"/>
        <w:ind w:left="1134" w:hanging="0"/>
        <w:jc w:val="both"/>
        <w:rPr>
          <w:rFonts w:cs="Arial"/>
          <w:i/>
          <w:i/>
          <w:color w:val="FF0000"/>
          <w:szCs w:val="20"/>
        </w:rPr>
      </w:pPr>
      <w:r>
        <w:rPr>
          <w:rFonts w:cs="Arial"/>
          <w:i/>
          <w:color w:val="FF0000"/>
          <w:szCs w:val="20"/>
        </w:rPr>
      </w:r>
    </w:p>
    <w:p>
      <w:pPr>
        <w:pStyle w:val="Normal"/>
        <w:numPr>
          <w:ilvl w:val="1"/>
          <w:numId w:val="2"/>
        </w:numPr>
        <w:spacing w:lineRule="auto" w:line="276" w:before="120" w:after="120"/>
        <w:jc w:val="both"/>
        <w:rPr>
          <w:rFonts w:cs="Arial"/>
          <w:color w:val="FF0000"/>
          <w:szCs w:val="20"/>
        </w:rPr>
      </w:pPr>
      <w:r>
        <w:rPr>
          <w:rFonts w:cs="Arial"/>
          <w:color w:val="FF0000"/>
          <w:szCs w:val="20"/>
        </w:rPr>
        <w:t xml:space="preserve">O prazo de </w:t>
      </w:r>
      <w:commentRangeStart w:id="41"/>
      <w:r>
        <w:rPr>
          <w:rFonts w:cs="Arial"/>
          <w:color w:val="FF0000"/>
          <w:szCs w:val="20"/>
        </w:rPr>
        <w:t>execução</w:t>
      </w:r>
      <w:r>
        <w:rPr>
          <w:rFonts w:cs="Arial"/>
          <w:color w:val="FF0000"/>
          <w:szCs w:val="20"/>
        </w:rPr>
      </w:r>
      <w:commentRangeEnd w:id="41"/>
      <w:r>
        <w:commentReference w:id="41"/>
      </w:r>
      <w:r>
        <w:rPr>
          <w:rFonts w:cs="Arial"/>
          <w:color w:val="FF0000"/>
          <w:szCs w:val="20"/>
        </w:rPr>
        <w:t xml:space="preserve"> dos serviços será de ........... (indicar o período de tempo previsto para a conclusão dos serviços), com início ................................. (indicar a data ou evento para o início dos serviços), e seguirá o seguinte cronograma:</w:t>
      </w:r>
    </w:p>
    <w:p>
      <w:pPr>
        <w:pStyle w:val="Normal"/>
        <w:numPr>
          <w:ilvl w:val="2"/>
          <w:numId w:val="2"/>
        </w:numPr>
        <w:spacing w:lineRule="auto" w:line="276" w:before="120" w:after="120"/>
        <w:jc w:val="both"/>
        <w:rPr>
          <w:rFonts w:cs="Arial"/>
          <w:color w:val="FF0000"/>
          <w:szCs w:val="20"/>
        </w:rPr>
      </w:pPr>
      <w:r>
        <w:rPr>
          <w:rFonts w:cs="Arial"/>
          <w:color w:val="FF0000"/>
          <w:szCs w:val="20"/>
        </w:rPr>
        <w:t xml:space="preserve">........... </w:t>
      </w:r>
      <w:commentRangeStart w:id="42"/>
      <w:r>
        <w:rPr>
          <w:rFonts w:cs="Arial"/>
          <w:color w:val="FF0000"/>
          <w:szCs w:val="20"/>
        </w:rPr>
        <w:t>(início e conclusão)</w:t>
      </w:r>
    </w:p>
    <w:p>
      <w:pPr>
        <w:pStyle w:val="Normal"/>
        <w:numPr>
          <w:ilvl w:val="2"/>
          <w:numId w:val="2"/>
        </w:numPr>
        <w:spacing w:lineRule="auto" w:line="276" w:before="120" w:after="120"/>
        <w:jc w:val="both"/>
        <w:rPr>
          <w:rFonts w:cs="Arial"/>
          <w:color w:val="FF0000"/>
          <w:szCs w:val="20"/>
        </w:rPr>
      </w:pPr>
      <w:r>
        <w:rPr>
          <w:rFonts w:cs="Arial"/>
          <w:color w:val="FF0000"/>
          <w:szCs w:val="20"/>
        </w:rPr>
        <w:t>....... (início e conclusão)</w:t>
      </w:r>
      <w:permStart w:id="1751974150" w:edGrp="everyone"/>
      <w:commentRangeEnd w:id="42"/>
      <w:r>
        <w:commentReference w:id="42"/>
      </w:r>
      <w:r>
        <w:rPr>
          <w:rFonts w:cs="Arial"/>
          <w:color w:val="FF0000"/>
          <w:szCs w:val="20"/>
        </w:rPr>
      </w:r>
      <w:permEnd w:id="1751974150"/>
    </w:p>
    <w:p>
      <w:pPr>
        <w:pStyle w:val="Normal"/>
        <w:rPr>
          <w:rFonts w:cs="Arial"/>
          <w:szCs w:val="20"/>
        </w:rPr>
      </w:pPr>
      <w:r>
        <w:rPr>
          <w:rFonts w:cs="Arial"/>
          <w:szCs w:val="20"/>
        </w:rPr>
      </w:r>
    </w:p>
    <w:p>
      <w:pPr>
        <w:pStyle w:val="Normal"/>
        <w:spacing w:lineRule="auto" w:line="276" w:before="120" w:after="120"/>
        <w:ind w:right="-30" w:hanging="0"/>
        <w:jc w:val="both"/>
        <w:rPr/>
      </w:pPr>
      <w:r>
        <w:rPr/>
      </w:r>
    </w:p>
    <w:sectPr>
      <w:footerReference w:type="default" r:id="rId2"/>
      <w:type w:val="nextPage"/>
      <w:pgSz w:w="11906" w:h="16838"/>
      <w:pgMar w:left="1701" w:right="1134" w:header="0" w:top="1418" w:footer="709" w:bottom="1418" w:gutter="0"/>
      <w:pgNumType w:fmt="decimal"/>
      <w:formProt w:val="false"/>
      <w:textDirection w:val="lrTb"/>
      <w:docGrid w:type="default" w:linePitch="36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THAIS DOS SANTOS ZAMBA" w:date="2020-03-05T13:21:00Z" w:initials="TDSZ">
    <w:p>
      <w:r>
        <w:rPr>
          <w:rFonts w:ascii="Liberation Serif" w:hAnsi="Liberation Serif" w:eastAsia="Segoe UI"/>
          <w:sz w:val="24"/>
          <w:lang w:val="en-US" w:eastAsia="en-US" w:bidi="en-US"/>
        </w:rPr>
        <w:t>Informação meramente para fins de controle. Favor apagar.</w:t>
      </w:r>
    </w:p>
  </w:comment>
  <w:comment w:id="2" w:author="THAIS DOS SANTOS ZAMBA" w:date="2020-02-28T15:19:00Z" w:initials="TDSZ">
    <w:p>
      <w:r>
        <w:rPr>
          <w:rFonts w:ascii="Liberation Serif" w:hAnsi="Liberation Serif" w:eastAsia="Segoe UI" w:cs="Arial"/>
          <w:sz w:val="24"/>
          <w:lang w:val="en-US" w:eastAsia="en-US" w:bidi="en-US"/>
        </w:rPr>
        <w:t>Descrever o objeto de forma detalhada, com todas as especificações necessárias e suficientes para uma contratação de qualidade, cuidando-se para que não sejam admitidas, previstas ou incluídas condições que comprometam, restrinjam ou frustrem o caráter competitivo da licitação ou, ainda, impertinentes ou irrelevantes para o específico objeto do contrato. Se aplicável, atente-se às normas técnicas (Associação Brasileira de Normas Técnicas – ABNT), quanto a requisitos mínimos de qualidade, utilidade, resistência e segurança, nos termos da Lei n° 4.150, de 1962.</w:t>
      </w:r>
    </w:p>
  </w:comment>
  <w:comment w:id="3" w:author="THAIS DOS SANTOS ZAMBA" w:date="2020-02-28T12:04:00Z" w:initials="TDSZ">
    <w:p>
      <w:r>
        <w:rPr>
          <w:rFonts w:ascii="Liberation Serif" w:hAnsi="Liberation Serif" w:eastAsia="Segoe UI"/>
          <w:sz w:val="24"/>
          <w:lang w:val="en-US" w:eastAsia="en-US" w:bidi="en-US"/>
        </w:rPr>
        <w:t>Coluna opcional. Pode ser removida.</w:t>
      </w:r>
    </w:p>
  </w:comment>
  <w:comment w:id="1" w:author="THAIS DOS SANTOS ZAMBA" w:date="2020-02-28T15:17:00Z" w:initials="TDSZ">
    <w:p>
      <w:r>
        <w:rPr>
          <w:rFonts w:ascii="Liberation Serif" w:hAnsi="Liberation Serif" w:eastAsia="Segoe UI"/>
          <w:sz w:val="24"/>
          <w:lang w:val="en-US" w:eastAsia="en-US" w:bidi="en-US"/>
        </w:rPr>
        <w:t>Tabela meramente ilustrativa, que pode ser adaptada conforme a necessidade.</w:t>
      </w:r>
    </w:p>
  </w:comment>
  <w:comment w:id="4" w:author="THAIS DOS SANTOS ZAMBA" w:date="2020-02-28T14:03:00Z" w:initials="TDSZ">
    <w:p>
      <w:r>
        <w:rPr>
          <w:rFonts w:ascii="Liberation Serif" w:hAnsi="Liberation Serif" w:eastAsia="Segoe UI"/>
          <w:sz w:val="24"/>
          <w:lang w:val="en-US" w:eastAsia="en-US" w:bidi="en-US"/>
        </w:rPr>
        <w:t>Usar apenas em caso de registro de preços que conte com órgão gerenciador e órgãos participantes, além dele. Caso contrário, eliminar.</w:t>
      </w:r>
    </w:p>
  </w:comment>
  <w:comment w:id="5" w:author="THAIS DOS SANTOS ZAMBA" w:date="2020-02-28T15:32:00Z" w:initials="TDSZ">
    <w:p>
      <w:r>
        <w:rPr>
          <w:rFonts w:ascii="Liberation Serif" w:hAnsi="Liberation Serif" w:eastAsia="Segoe UI"/>
          <w:sz w:val="24"/>
          <w:lang w:val="en-US" w:eastAsia="en-US" w:bidi="en-US"/>
        </w:rPr>
        <w:t>Preço unitário: para serviços realizados em quantidade e que podem ser mensurados/dimensionados por unidades de medida. Maior precisão.</w:t>
      </w:r>
    </w:p>
    <w:p>
      <w:r>
        <w:rPr>
          <w:rFonts w:ascii="Liberation Serif" w:hAnsi="Liberation Serif" w:eastAsia="Segoe UI"/>
          <w:sz w:val="24"/>
          <w:lang w:val="en-US" w:eastAsia="en-US" w:bidi="en-US"/>
        </w:rPr>
        <w:t xml:space="preserve">Preço global/integral: menor precisão, maior incerteza (especialmente quanto ao quantitativo). </w:t>
      </w:r>
    </w:p>
  </w:comment>
  <w:comment w:id="6" w:author="THAIS DOS SANTOS ZAMBA" w:date="2020-02-28T16:23:00Z" w:initials="TDSZ">
    <w:p>
      <w:r>
        <w:rPr>
          <w:rFonts w:ascii="Liberation Serif" w:hAnsi="Liberation Serif" w:eastAsia="Segoe UI" w:cs="Arial"/>
          <w:sz w:val="24"/>
          <w:lang w:val="en-US" w:eastAsia="en-US" w:bidi="en-US"/>
        </w:rPr>
        <w:t>Conforme a AGU, a justificativa deve ser apresentada pelo requisitante. São exceções os casos de serviços com características técnicas especializadas (neste caso, deve-se recorrer a uma unidade técnica competente).</w:t>
      </w:r>
    </w:p>
  </w:comment>
  <w:comment w:id="7" w:author="THAIS DOS SANTOS ZAMBA" w:date="2020-02-28T16:23:00Z" w:initials="TDSZ">
    <w:p>
      <w:r>
        <w:rPr>
          <w:rFonts w:ascii="Liberation Serif" w:hAnsi="Liberation Serif" w:eastAsia="Segoe UI" w:cs="Arial"/>
          <w:sz w:val="24"/>
          <w:szCs w:val="20"/>
          <w:lang w:val="en-US" w:eastAsia="en-US" w:bidi="en-US"/>
        </w:rPr>
        <w:t xml:space="preserve">Citando a AGU: </w:t>
      </w:r>
      <w:r>
        <w:rPr>
          <w:rFonts w:ascii="Liberation Serif" w:hAnsi="Liberation Serif" w:eastAsia="Segoe UI" w:cs="Arial"/>
          <w:i/>
          <w:sz w:val="24"/>
          <w:szCs w:val="20"/>
          <w:lang w:val="en-US" w:eastAsia="en-US" w:bidi="en-US"/>
        </w:rPr>
        <w:t>Também nos termos da IN nº 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comment>
  <w:comment w:id="8" w:author="THAIS DOS SANTOS ZAMBA" w:date="2020-02-28T17:03:00Z" w:initials="TDSZ">
    <w:p>
      <w:r>
        <w:rPr>
          <w:rFonts w:ascii="Liberation Serif" w:hAnsi="Liberation Serif" w:eastAsia="Segoe UI"/>
          <w:sz w:val="24"/>
          <w:lang w:val="en-US" w:eastAsia="en-US" w:bidi="en-US"/>
        </w:rPr>
        <w:t>Exigir vistoria obrigatória representa ônus aos licitantes e risco ao certame. Caso, ainda assim, se deseje exigi-la, é preciso alterar a redação para DEVERÁ.</w:t>
      </w:r>
    </w:p>
  </w:comment>
  <w:comment w:id="9" w:author="THAIS DOS SANTOS ZAMBA" w:date="2020-02-28T17:06:00Z" w:initials="TDSZ">
    <w:p>
      <w:r>
        <w:rPr>
          <w:rFonts w:ascii="Liberation Serif" w:hAnsi="Liberation Serif" w:eastAsia="Segoe UI"/>
          <w:sz w:val="24"/>
          <w:lang w:val="en-US" w:eastAsia="en-US" w:bidi="en-US"/>
        </w:rPr>
        <w:t>Nota Explicativa AGU: Não é possível exigir que a vistoria técnica seja realizada, necessariamente, pelo engenheiro responsável pela obra (responsável técnico) ou em data única (TCU, Acórdão nº 3.040/2011-Plenário).</w:t>
      </w:r>
    </w:p>
  </w:comment>
  <w:comment w:id="10" w:author="THAIS DOS SANTOS ZAMBA" w:date="2020-02-28T17:36:00Z" w:initials="TDSZ">
    <w:p>
      <w:r>
        <w:rPr>
          <w:rFonts w:ascii="Liberation Serif" w:hAnsi="Liberation Serif" w:eastAsia="Segoe UI"/>
          <w:sz w:val="24"/>
          <w:lang w:val="en-US" w:eastAsia="en-US" w:bidi="en-US"/>
        </w:rPr>
        <w:t>Comentário AGU: 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11" w:author="THAIS DOS SANTOS ZAMBA" w:date="2020-03-03T10:49:00Z" w:initials="TDSZ">
    <w:p>
      <w:r>
        <w:rPr>
          <w:rFonts w:ascii="Liberation Serif" w:hAnsi="Liberation Serif" w:eastAsia="Segoe UI"/>
          <w:sz w:val="24"/>
          <w:lang w:val="en-US" w:eastAsia="en-US" w:bidi="en-US"/>
        </w:rPr>
        <w:t>Caso este tópico se aplique, deve estar alinhado à disciplina de recebimento e pagamento.</w:t>
      </w:r>
    </w:p>
    <w:p>
      <w:r>
        <w:rPr>
          <w:rFonts w:ascii="Liberation Serif" w:hAnsi="Liberation Serif" w:eastAsia="Segoe UI"/>
          <w:sz w:val="24"/>
          <w:lang w:val="en-US" w:eastAsia="en-US" w:bidi="en-US"/>
        </w:rPr>
        <w:t>Exemplos de tópicos a serem mencionados aqui:</w:t>
      </w:r>
    </w:p>
    <w:p>
      <w:r>
        <w:rPr>
          <w:rFonts w:ascii="Liberation Serif" w:hAnsi="Liberation Serif" w:eastAsia="Segoe UI"/>
          <w:sz w:val="24"/>
          <w:lang w:val="en-US" w:eastAsia="en-US" w:bidi="en-US"/>
        </w:rPr>
        <w:t>Envolvidos na gestão do cotnrato;</w:t>
      </w:r>
    </w:p>
    <w:p>
      <w:r>
        <w:rPr>
          <w:rFonts w:ascii="Liberation Serif" w:hAnsi="Liberation Serif" w:eastAsia="Segoe UI"/>
          <w:sz w:val="24"/>
          <w:lang w:val="en-US" w:eastAsia="en-US" w:bidi="en-US"/>
        </w:rPr>
        <w:t>A medição ára efeito de pagamento;</w:t>
      </w:r>
    </w:p>
    <w:p>
      <w:r>
        <w:rPr>
          <w:rFonts w:ascii="Liberation Serif" w:hAnsi="Liberation Serif" w:eastAsia="Segoe UI"/>
          <w:sz w:val="24"/>
          <w:lang w:val="en-US" w:eastAsia="en-US" w:bidi="en-US"/>
        </w:rPr>
        <w:t>o método de avaliação da conformidade;</w:t>
      </w:r>
    </w:p>
    <w:p>
      <w:r>
        <w:rPr>
          <w:rFonts w:ascii="Liberation Serif" w:hAnsi="Liberation Serif" w:eastAsia="Segoe UI"/>
          <w:sz w:val="24"/>
          <w:lang w:val="en-US" w:eastAsia="en-US" w:bidi="en-US"/>
        </w:rPr>
        <w:t>sanções, glosas e condições para rescisão contratual;</w:t>
      </w:r>
    </w:p>
    <w:p>
      <w:r>
        <w:rPr>
          <w:rFonts w:ascii="Liberation Serif" w:hAnsi="Liberation Serif" w:eastAsia="Segoe UI"/>
          <w:sz w:val="24"/>
          <w:lang w:val="en-US" w:eastAsia="en-US" w:bidi="en-US"/>
        </w:rPr>
        <w:t>garantias de execução contratual (se necessário);</w:t>
      </w:r>
    </w:p>
    <w:p>
      <w:r>
        <w:rPr>
          <w:rFonts w:ascii="Liberation Serif" w:hAnsi="Liberation Serif" w:eastAsia="Segoe UI"/>
          <w:sz w:val="24"/>
          <w:lang w:val="en-US" w:eastAsia="en-US" w:bidi="en-US"/>
        </w:rPr>
        <w:t>produtividade der eferência (aceitável para execução do serviço) – quando cabível</w:t>
      </w:r>
    </w:p>
  </w:comment>
  <w:comment w:id="12" w:author="THAIS DOS SANTOS ZAMBA" w:date="2020-03-03T14:46:00Z" w:initials="TDSZ">
    <w:p>
      <w:r>
        <w:rPr>
          <w:rFonts w:ascii="Liberation Serif" w:hAnsi="Liberation Serif" w:eastAsia="Segoe UI"/>
          <w:sz w:val="24"/>
          <w:lang w:val="en-US" w:eastAsia="en-US" w:bidi="en-US"/>
        </w:rPr>
        <w:t>Manter apenas se a contratada precisar disponibilizar materiais para a execução do(s) serviço(s) contratado(s).</w:t>
      </w:r>
    </w:p>
  </w:comment>
  <w:comment w:id="13" w:author="THAIS DOS SANTOS ZAMBA" w:date="2020-03-03T14:49:00Z" w:initials="TDSZ">
    <w:p>
      <w:r>
        <w:rPr>
          <w:rFonts w:ascii="Liberation Serif" w:hAnsi="Liberation Serif" w:eastAsia="Segoe UI"/>
          <w:sz w:val="24"/>
          <w:lang w:val="en-US" w:eastAsia="en-US" w:bidi="en-US"/>
        </w:rPr>
        <w:t>Editável.</w:t>
      </w:r>
    </w:p>
  </w:comment>
  <w:comment w:id="14" w:author="THAIS DOS SANTOS ZAMBA" w:date="2020-03-03T14:49:00Z" w:initials="TDSZ">
    <w:p>
      <w:r>
        <w:rPr>
          <w:rFonts w:ascii="Liberation Serif" w:hAnsi="Liberation Serif" w:eastAsia="Segoe UI"/>
          <w:sz w:val="24"/>
          <w:lang w:val="en-US" w:eastAsia="en-US" w:bidi="en-US"/>
        </w:rPr>
        <w:t>Editar/alterar/remover os itens deste tópico caso necessário, de acordo com as peculiaridades do serviço.</w:t>
      </w:r>
    </w:p>
  </w:comment>
  <w:comment w:id="15" w:author="THAIS DOS SANTOS ZAMBA" w:date="2020-03-03T15:40:00Z" w:initials="TDSZ">
    <w:p>
      <w:r>
        <w:rPr>
          <w:rFonts w:ascii="Liberation Serif" w:hAnsi="Liberation Serif" w:eastAsia="Segoe UI"/>
          <w:sz w:val="24"/>
          <w:lang w:val="en-US" w:eastAsia="en-US" w:bidi="en-US"/>
        </w:rPr>
        <w:t>Editar conforme o que se aplicar ao objeto deste Termo.</w:t>
      </w:r>
    </w:p>
  </w:comment>
  <w:comment w:id="16" w:author="THAIS DOS SANTOS ZAMBA" w:date="2020-03-04T14:17:00Z" w:initials="TDSZ">
    <w:p>
      <w:r>
        <w:rPr>
          <w:rFonts w:ascii="Liberation Serif" w:hAnsi="Liberation Serif" w:eastAsia="Segoe UI"/>
          <w:sz w:val="24"/>
          <w:lang w:val="en-US" w:eastAsia="en-US" w:bidi="en-US"/>
        </w:rPr>
        <w:t>Editar conforme o objeto.</w:t>
      </w:r>
    </w:p>
  </w:comment>
  <w:comment w:id="17" w:author="THAIS DOS SANTOS ZAMBA" w:date="2020-03-04T14:17:00Z" w:initials="TDSZ">
    <w:p>
      <w:r>
        <w:rPr>
          <w:rFonts w:ascii="Liberation Serif" w:hAnsi="Liberation Serif" w:eastAsia="Segoe UI"/>
          <w:sz w:val="24"/>
          <w:lang w:val="en-US" w:eastAsia="en-US" w:bidi="en-US"/>
        </w:rPr>
        <w:t>Manter este trecho somente caso tenha exigido subcontratação de micro ou pequenas empresas.</w:t>
      </w:r>
    </w:p>
  </w:comment>
  <w:comment w:id="18" w:author="THAIS DOS SANTOS ZAMBA" w:date="2020-03-04T14:25:00Z" w:initials="TDSZ">
    <w:p>
      <w:r>
        <w:rPr>
          <w:rFonts w:ascii="Liberation Serif" w:hAnsi="Liberation Serif" w:eastAsia="Segoe UI"/>
          <w:sz w:val="24"/>
          <w:lang w:val="en-US" w:eastAsia="en-US" w:bidi="en-US"/>
        </w:rPr>
        <w:t>Aplicável apenas a serviços de natureza intelectual (ou, de modo especial, algum serviço ao qual o requisitante julgue necessário aplicar este tópico).</w:t>
      </w:r>
    </w:p>
  </w:comment>
  <w:comment w:id="19" w:author="THAIS DOS SANTOS ZAMBA" w:date="2020-03-04T14:49:00Z" w:initials="TDSZ">
    <w:p>
      <w:r>
        <w:rPr>
          <w:rFonts w:ascii="Liberation Serif" w:hAnsi="Liberation Serif" w:eastAsia="Segoe UI"/>
          <w:sz w:val="24"/>
          <w:lang w:val="en-US" w:eastAsia="en-US" w:bidi="en-US"/>
        </w:rPr>
        <w:t>Caso não se admita a subcontratação, deve-se manter o item acima e apagar os que estão abaixo. Caso seja admitida, deve-se apagar o item acima e preencher os itens abaixo.</w:t>
      </w:r>
    </w:p>
  </w:comment>
  <w:comment w:id="20" w:author="THAIS DOS SANTOS ZAMBA" w:date="2020-03-04T15:26:00Z" w:initials="TDSZ">
    <w:p>
      <w:r>
        <w:rPr>
          <w:rFonts w:ascii="Liberation Serif" w:hAnsi="Liberation Serif" w:eastAsia="Segoe UI"/>
          <w:sz w:val="24"/>
          <w:lang w:val="en-US" w:eastAsia="en-US" w:bidi="en-US"/>
        </w:rPr>
        <w:t>O presente tópico deve ser ajustado, no que couber, às peculiaridades do serviço (objeto do TR).</w:t>
      </w:r>
    </w:p>
  </w:comment>
  <w:comment w:id="21" w:author="THAIS DOS SANTOS ZAMBA" w:date="2020-03-04T15:43:00Z" w:initials="TDSZ">
    <w:p>
      <w:r>
        <w:rPr>
          <w:rFonts w:ascii="Liberation Serif" w:hAnsi="Liberation Serif" w:eastAsia="Segoe UI"/>
          <w:sz w:val="24"/>
          <w:lang w:val="en-US" w:eastAsia="en-US" w:bidi="en-US"/>
        </w:rPr>
        <w:t>Instrumento para monitorar, mensurar e avaliar a qualidade do serviço prestado.</w:t>
      </w:r>
    </w:p>
  </w:comment>
  <w:comment w:id="22" w:author="THAIS DOS SANTOS ZAMBA" w:date="2020-03-04T15:46:00Z" w:initials="TDSZ">
    <w:p>
      <w:r>
        <w:rPr>
          <w:rFonts w:ascii="Liberation Serif" w:hAnsi="Liberation Serif" w:eastAsia="Segoe UI"/>
          <w:sz w:val="24"/>
          <w:lang w:val="en-US" w:eastAsia="en-US" w:bidi="en-US"/>
        </w:rPr>
        <w:t>Acrescentar neste espaço itens de fiscalização própria, se o serviço em questão exigir.</w:t>
      </w:r>
    </w:p>
  </w:comment>
  <w:comment w:id="23" w:author="THAIS DOS SANTOS ZAMBA" w:date="2020-03-04T15:47:00Z" w:initials="TDSZ">
    <w:p>
      <w:r>
        <w:rPr>
          <w:rFonts w:ascii="Liberation Serif" w:hAnsi="Liberation Serif" w:eastAsia="Segoe UI"/>
          <w:sz w:val="24"/>
          <w:lang w:val="en-US" w:eastAsia="en-US" w:bidi="en-US"/>
        </w:rPr>
        <w:t>Pode ser alterado a critério do requisitante.</w:t>
      </w:r>
    </w:p>
  </w:comment>
  <w:comment w:id="24" w:author="THAIS DOS SANTOS ZAMBA" w:date="2020-03-04T15:48:00Z" w:initials="TDSZ">
    <w:p>
      <w:r>
        <w:rPr>
          <w:rFonts w:ascii="Liberation Serif" w:hAnsi="Liberation Serif" w:eastAsia="Segoe UI"/>
          <w:sz w:val="24"/>
          <w:lang w:val="en-US" w:eastAsia="en-US" w:bidi="en-US"/>
        </w:rPr>
        <w:t>Prazo pode ser alterado a critério do requisitante.</w:t>
      </w:r>
    </w:p>
  </w:comment>
  <w:comment w:id="25" w:author="THAIS DOS SANTOS ZAMBA" w:date="2020-03-04T15:50:00Z" w:initials="TDSZ">
    <w:p>
      <w:r>
        <w:rPr>
          <w:rFonts w:ascii="Liberation Serif" w:hAnsi="Liberation Serif" w:eastAsia="Segoe UI"/>
          <w:sz w:val="24"/>
          <w:lang w:val="en-US" w:eastAsia="en-US" w:bidi="en-US"/>
        </w:rPr>
        <w:t>Prazo pode ser alterado a critério do requisitante.</w:t>
      </w:r>
    </w:p>
  </w:comment>
  <w:comment w:id="26" w:author="THAIS DOS SANTOS ZAMBA" w:date="2020-03-04T15:53:00Z" w:initials="TDSZ">
    <w:p>
      <w:r>
        <w:rPr>
          <w:rFonts w:ascii="Liberation Serif" w:hAnsi="Liberation Serif" w:eastAsia="Segoe UI"/>
          <w:sz w:val="24"/>
          <w:lang w:val="en-US" w:eastAsia="en-US" w:bidi="en-US"/>
        </w:rPr>
        <w:t>Caso haja este instrumento, especificar.</w:t>
      </w:r>
    </w:p>
  </w:comment>
  <w:comment w:id="27" w:author="THAIS DOS SANTOS ZAMBA" w:date="2020-03-04T15:55:00Z" w:initials="TDSZ">
    <w:p>
      <w:r>
        <w:rPr>
          <w:rFonts w:ascii="Liberation Serif" w:hAnsi="Liberation Serif" w:eastAsia="Segoe UI"/>
          <w:sz w:val="24"/>
          <w:lang w:val="en-US" w:eastAsia="en-US" w:bidi="en-US"/>
        </w:rPr>
        <w:t>Prazo máximo: 30 dias. (Art. 40, XIV, “a”, Lei 8.666/1993)</w:t>
      </w:r>
    </w:p>
  </w:comment>
  <w:comment w:id="28" w:author="THAIS DOS SANTOS ZAMBA" w:date="2020-03-04T15:58:00Z" w:initials="TDSZ">
    <w:p>
      <w:r>
        <w:rPr>
          <w:rFonts w:ascii="Liberation Serif" w:hAnsi="Liberation Serif" w:eastAsia="Segoe UI"/>
          <w:sz w:val="24"/>
          <w:lang w:val="en-US" w:eastAsia="en-US" w:bidi="en-US"/>
        </w:rPr>
        <w:t>ATENÇÃO AOS ÍNDICES.</w:t>
      </w:r>
    </w:p>
    <w:p>
      <w:r>
        <w:rPr>
          <w:rFonts w:ascii="Liberation Serif" w:hAnsi="Liberation Serif" w:eastAsia="Segoe UI"/>
          <w:sz w:val="24"/>
          <w:lang w:val="en-US" w:eastAsia="en-US" w:bidi="en-US"/>
        </w:rPr>
        <w:t>Para aquisição de materiais: Índice de Preços ao Consumidor – Mercado (IPCM);</w:t>
      </w:r>
    </w:p>
    <w:p>
      <w:r>
        <w:rPr>
          <w:rFonts w:ascii="Liberation Serif" w:hAnsi="Liberation Serif" w:eastAsia="Segoe UI"/>
          <w:sz w:val="24"/>
          <w:lang w:val="en-US" w:eastAsia="en-US" w:bidi="en-US"/>
        </w:rPr>
        <w:t>Para contratação de serviços: Índice Nacional de Preços ao Consumidor Amplo (IPCA);</w:t>
      </w:r>
    </w:p>
    <w:p>
      <w:r>
        <w:rPr>
          <w:rFonts w:ascii="Liberation Serif" w:hAnsi="Liberation Serif" w:eastAsia="Segoe UI"/>
          <w:sz w:val="24"/>
          <w:lang w:val="en-US" w:eastAsia="en-US" w:bidi="en-US"/>
        </w:rPr>
        <w:t>Para obras e serviços de engenharia: Índice Nacional de Custos da Construção (INCC).</w:t>
      </w:r>
    </w:p>
  </w:comment>
  <w:comment w:id="29" w:author="THAIS DOS SANTOS ZAMBA" w:date="2020-03-04T16:01:00Z" w:initials="TDSZ">
    <w:p>
      <w:r>
        <w:rPr>
          <w:rFonts w:ascii="Liberation Serif" w:hAnsi="Liberation Serif" w:eastAsia="Segoe UI"/>
          <w:sz w:val="24"/>
          <w:lang w:val="en-US" w:eastAsia="en-US" w:bidi="en-US"/>
        </w:rPr>
        <w:t>Se o serviço objeto da licitação contar com mão de obra de dedicação exclusiva, deve-se acrescentar o tópico de repactuação.</w:t>
      </w:r>
    </w:p>
  </w:comment>
  <w:comment w:id="30" w:author="THAIS DOS SANTOS ZAMBA" w:date="2020-03-04T16:03:00Z" w:initials="TDSZ">
    <w:p>
      <w:r>
        <w:rPr>
          <w:rFonts w:ascii="Liberation Serif" w:hAnsi="Liberation Serif" w:eastAsia="Segoe UI"/>
          <w:sz w:val="24"/>
          <w:lang w:val="en-US" w:eastAsia="en-US" w:bidi="en-US"/>
        </w:rPr>
        <w:t>Fica a critério do requisitante exigir a garantia ou não. Caso não se admita a subcontratação, deve-se manter o item acima e apagar os que estão abaixo. Caso seja admitida, deve-se apagar o item acima e preencher os itens abaixo.</w:t>
      </w:r>
    </w:p>
    <w:p>
      <w:r>
        <w:rPr>
          <w:rFonts w:ascii="Liberation Serif" w:hAnsi="Liberation Serif" w:eastAsia="Segoe UI"/>
          <w:sz w:val="24"/>
          <w:lang w:val="en-US" w:eastAsia="en-US" w:bidi="en-US"/>
        </w:rPr>
      </w:r>
    </w:p>
  </w:comment>
  <w:comment w:id="31" w:author="THAIS DOS SANTOS ZAMBA" w:date="2020-03-04T16:05:00Z" w:initials="TDSZ">
    <w:p>
      <w:r>
        <w:rPr>
          <w:rFonts w:ascii="Liberation Serif" w:hAnsi="Liberation Serif" w:eastAsia="Segoe UI"/>
          <w:sz w:val="24"/>
          <w:lang w:val="en-US" w:eastAsia="en-US" w:bidi="en-US"/>
        </w:rPr>
        <w:t>Os valores e prazos abaixo podem ser alterados conforme necessidade, oportunidade e conveniência.</w:t>
      </w:r>
    </w:p>
  </w:comment>
  <w:comment w:id="32" w:author="THAIS DOS SANTOS ZAMBA" w:date="2020-03-04T16:06:00Z" w:initials="TDSZ">
    <w:p>
      <w:r>
        <w:rPr>
          <w:rFonts w:ascii="Liberation Serif" w:hAnsi="Liberation Serif" w:eastAsia="Segoe UI"/>
          <w:sz w:val="24"/>
          <w:lang w:val="en-US" w:eastAsia="en-US" w:bidi="en-US"/>
        </w:rPr>
        <w:t>Podem ser incluídas novas infrações na tabela, conforme necessidade.</w:t>
      </w:r>
    </w:p>
  </w:comment>
  <w:comment w:id="33" w:author="THAIS DOS SANTOS ZAMBA" w:date="2020-03-04T16:07:00Z" w:initials="TDSZ">
    <w:p>
      <w:r>
        <w:rPr>
          <w:rFonts w:ascii="Liberation Serif" w:hAnsi="Liberation Serif" w:eastAsia="Segoe UI"/>
          <w:sz w:val="24"/>
          <w:lang w:val="en-US" w:eastAsia="en-US" w:bidi="en-US"/>
        </w:rPr>
        <w:t>A critério do requisitante.</w:t>
      </w:r>
    </w:p>
  </w:comment>
  <w:comment w:id="34" w:author="THAIS DOS SANTOS ZAMBA" w:date="2020-03-04T16:16:00Z" w:initials="TDSZ">
    <w:p>
      <w:r>
        <w:rPr>
          <w:rFonts w:ascii="Liberation Serif" w:hAnsi="Liberation Serif" w:eastAsia="Segoe UI"/>
          <w:sz w:val="24"/>
          <w:lang w:val="en-US" w:eastAsia="en-US" w:bidi="en-US"/>
        </w:rPr>
        <w:t>Como se pode notar, há duas possíveis redações. A primeira é aplicável se o orçamento for sigiloso. A segunda, caso o orçamento não seja sigiloso.</w:t>
      </w:r>
    </w:p>
  </w:comment>
  <w:comment w:id="35" w:author="THAIS DOS SANTOS ZAMBA" w:date="2020-03-05T12:02:00Z" w:initials="TDSZ">
    <w:p>
      <w:r>
        <w:rPr>
          <w:rFonts w:ascii="Liberation Serif" w:hAnsi="Liberation Serif" w:eastAsia="Segoe UI"/>
          <w:sz w:val="24"/>
          <w:lang w:val="en-US" w:eastAsia="en-US" w:bidi="en-US"/>
        </w:rPr>
        <w:t>Deve-se optar por uma das 3 redações abaixo. Atenção aos comentários.</w:t>
      </w:r>
    </w:p>
  </w:comment>
  <w:comment w:id="36" w:author="THAIS DOS SANTOS ZAMBA" w:date="2020-03-05T12:04:00Z" w:initials="TDSZ">
    <w:p>
      <w:r>
        <w:rPr>
          <w:rFonts w:ascii="Liberation Serif" w:hAnsi="Liberation Serif" w:eastAsia="Segoe UI"/>
          <w:sz w:val="24"/>
          <w:lang w:val="en-US" w:eastAsia="en-US" w:bidi="en-US"/>
        </w:rPr>
        <w:t>Escolher esta redação em caso de orçamento sigiloso (então, o custo estimado deverá constar apenas em documento juntado ao processo – nota técnica, planilha estimativa ou outro).</w:t>
      </w:r>
    </w:p>
  </w:comment>
  <w:comment w:id="37" w:author="THAIS DOS SANTOS ZAMBA" w:date="2020-03-05T12:06:00Z" w:initials="TDSZ">
    <w:p>
      <w:r>
        <w:rPr>
          <w:rFonts w:ascii="Liberation Serif" w:hAnsi="Liberation Serif" w:eastAsia="Segoe UI"/>
          <w:sz w:val="24"/>
          <w:lang w:val="en-US" w:eastAsia="en-US" w:bidi="en-US"/>
        </w:rPr>
        <w:t>Optar por esta redação se for o caso de licitação com critério de julgamento MAIOR DESCONTO (favor indicar valor de referência ou valor máximo aceitável).</w:t>
      </w:r>
    </w:p>
  </w:comment>
  <w:comment w:id="38" w:author="THAIS DOS SANTOS ZAMBA" w:date="2020-03-05T12:07:00Z" w:initials="TDSZ">
    <w:p>
      <w:r>
        <w:rPr>
          <w:rFonts w:ascii="Liberation Serif" w:hAnsi="Liberation Serif" w:eastAsia="Segoe UI"/>
          <w:sz w:val="24"/>
          <w:lang w:val="en-US" w:eastAsia="en-US" w:bidi="en-US"/>
        </w:rPr>
        <w:t>Essa informação deve ser obtida junto à Diretoria de Orçamento (2542-6284 / orcamento@unirio.br).</w:t>
      </w:r>
    </w:p>
  </w:comment>
  <w:comment w:id="39" w:author="THAIS DOS SANTOS ZAMBA" w:date="2020-03-05T12:08:00Z" w:initials="TDSZ">
    <w:p>
      <w:r>
        <w:rPr>
          <w:rFonts w:ascii="Liberation Serif" w:hAnsi="Liberation Serif" w:eastAsia="Segoe UI"/>
          <w:sz w:val="24"/>
          <w:lang w:val="en-US" w:eastAsia="en-US" w:bidi="en-US"/>
        </w:rPr>
        <w:t>Redação abaixo da assinatura: “NOME, CARGO, MATRÍCULA, responsável pela elaboração deste Termo de Referência.”</w:t>
      </w:r>
    </w:p>
    <w:p>
      <w:r>
        <w:rPr>
          <w:rFonts w:ascii="Liberation Serif" w:hAnsi="Liberation Serif" w:eastAsia="Segoe UI"/>
          <w:sz w:val="24"/>
          <w:lang w:val="en-US" w:eastAsia="en-US" w:bidi="en-US"/>
        </w:rPr>
        <w:t>Em se tratando de uma equipe, deve-se usar uma linha para cada membro da mesma.</w:t>
      </w:r>
    </w:p>
    <w:p>
      <w:r>
        <w:rPr>
          <w:rFonts w:ascii="Liberation Serif" w:hAnsi="Liberation Serif" w:eastAsia="Segoe UI"/>
          <w:sz w:val="24"/>
          <w:lang w:val="en-US" w:eastAsia="en-US" w:bidi="en-US"/>
        </w:rPr>
      </w:r>
    </w:p>
  </w:comment>
  <w:comment w:id="40" w:author="THAIS DOS SANTOS ZAMBA" w:date="2020-03-05T13:16:00Z" w:initials="TDSZ">
    <w:p>
      <w:r>
        <w:rPr>
          <w:rFonts w:ascii="Liberation Serif" w:hAnsi="Liberation Serif" w:eastAsia="Segoe UI"/>
          <w:sz w:val="24"/>
          <w:lang w:val="en-US" w:eastAsia="en-US" w:bidi="en-US"/>
        </w:rPr>
        <w:t>A redação do presente tópico pode ser adaptada conforme a necessidade.</w:t>
      </w:r>
    </w:p>
  </w:comment>
  <w:comment w:id="41" w:author="THAIS DOS SANTOS ZAMBA" w:date="2020-03-05T13:18:00Z" w:initials="TDSZ">
    <w:p>
      <w:r>
        <w:rPr>
          <w:rFonts w:ascii="Liberation Serif" w:hAnsi="Liberation Serif" w:eastAsia="Segoe UI"/>
          <w:sz w:val="24"/>
          <w:lang w:val="en-US" w:eastAsia="en-US" w:bidi="en-US"/>
        </w:rPr>
        <w:t>Atenção: execução e vigência são duas coisas distintas. O prazo de execução refere-se à execução do serviço pelo contratado. Vigência relaciona-se ao prazo de cumprimento do contrato por ambas as partes.</w:t>
      </w:r>
    </w:p>
  </w:comment>
  <w:comment w:id="42" w:author="THAIS DOS SANTOS ZAMBA" w:date="2020-03-05T13:17:00Z" w:initials="TDSZ">
    <w:p>
      <w:r>
        <w:rPr>
          <w:rFonts w:ascii="Liberation Serif" w:hAnsi="Liberation Serif" w:eastAsia="Segoe UI"/>
          <w:sz w:val="24"/>
          <w:lang w:val="en-US" w:eastAsia="en-US" w:bidi="en-US"/>
        </w:rPr>
        <w:t>Nota explicativa AGU: Esta última redação é sugerida para a hipótese de haver cronograma físico-financeiro para a execução dos serviços.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Licitações e Contratos Administrativos da Consultoria-Geral da União</w:t>
    </w:r>
  </w:p>
  <w:p>
    <w:pPr>
      <w:pStyle w:val="Rodap"/>
      <w:rPr>
        <w:sz w:val="12"/>
        <w:szCs w:val="12"/>
      </w:rPr>
    </w:pPr>
    <w:r>
      <w:rPr>
        <w:sz w:val="12"/>
        <w:szCs w:val="12"/>
      </w:rPr>
      <w:t>Termo de Referência - Modelo para Pregão Eletrônico: Serviços Não Contínuados</w:t>
    </w:r>
  </w:p>
  <w:p>
    <w:pPr>
      <w:pStyle w:val="Rodap"/>
      <w:rPr>
        <w:sz w:val="12"/>
        <w:szCs w:val="12"/>
      </w:rPr>
    </w:pPr>
    <w:r>
      <w:rPr>
        <w:sz w:val="12"/>
        <w:szCs w:val="12"/>
      </w:rPr>
      <w:t>Atualização: Outubro/2019</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lvl>
    <w:lvl w:ilvl="1">
      <w:start w:val="1"/>
      <w:numFmt w:val="decimal"/>
      <w:lvlText w:val="%1.%2."/>
      <w:lvlJc w:val="left"/>
      <w:pPr>
        <w:ind w:left="716" w:hanging="432"/>
      </w:pPr>
      <w:rPr>
        <w:i w:val="false"/>
        <w:b/>
        <w:lang w:val="x-none"/>
      </w:rPr>
    </w:lvl>
    <w:lvl w:ilvl="2">
      <w:start w:val="1"/>
      <w:numFmt w:val="decimal"/>
      <w:lvlText w:val="%1.%2.%3."/>
      <w:lvlJc w:val="left"/>
      <w:pPr>
        <w:ind w:left="1922" w:hanging="504"/>
      </w:pPr>
    </w:lvl>
    <w:lvl w:ilvl="3">
      <w:start w:val="1"/>
      <w:numFmt w:val="decimal"/>
      <w:lvlText w:val="%1.%2.%3.%4."/>
      <w:lvlJc w:val="left"/>
      <w:pPr>
        <w:ind w:left="2491" w:hanging="648"/>
      </w:pPr>
      <w:rPr>
        <w:i w:val="false"/>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7"/>
      <w:numFmt w:val="decimal"/>
      <w:lvlText w:val="%1."/>
      <w:lvlJc w:val="left"/>
      <w:pPr>
        <w:ind w:left="360" w:hanging="360"/>
      </w:pPr>
    </w:lvl>
    <w:lvl w:ilvl="1">
      <w:start w:val="1"/>
      <w:numFmt w:val="decimal"/>
      <w:lvlText w:val="%1.%2."/>
      <w:lvlJc w:val="left"/>
      <w:pPr>
        <w:ind w:left="792" w:hanging="432"/>
      </w:pPr>
      <w:rPr>
        <w:i w:val="false"/>
        <w:b/>
      </w:rPr>
    </w:lvl>
    <w:lvl w:ilvl="2">
      <w:start w:val="1"/>
      <w:numFmt w:val="decimal"/>
      <w:lvlText w:val="%1.%2.%3."/>
      <w:lvlJc w:val="left"/>
      <w:pPr>
        <w:ind w:left="1224" w:hanging="504"/>
      </w:pPr>
      <w:rPr>
        <w:sz w:val="20"/>
        <w:b/>
        <w:rFonts w:ascii="Arial" w:hAnsi="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8"/>
      <w:numFmt w:val="decimal"/>
      <w:lvlText w:val="%1."/>
      <w:lvlJc w:val="left"/>
      <w:pPr>
        <w:ind w:left="360" w:hanging="360"/>
      </w:pPr>
      <w:rPr>
        <w:sz w:val="20"/>
        <w:i w:val="false"/>
        <w:szCs w:val="20"/>
      </w:rPr>
    </w:lvl>
    <w:lvl w:ilvl="1">
      <w:start w:val="1"/>
      <w:numFmt w:val="decimal"/>
      <w:lvlText w:val="%1.%2."/>
      <w:lvlJc w:val="left"/>
      <w:pPr>
        <w:ind w:left="432" w:hanging="432"/>
      </w:pPr>
      <w:rPr>
        <w:sz w:val="20"/>
        <w:b w:val="false"/>
        <w:szCs w:val="20"/>
        <w:color w:val="FF0000"/>
      </w:rPr>
    </w:lvl>
    <w:lvl w:ilvl="2">
      <w:start w:val="1"/>
      <w:numFmt w:val="decimal"/>
      <w:lvlText w:val="%1.%2.%3."/>
      <w:lvlJc w:val="left"/>
      <w:pPr>
        <w:ind w:left="1224" w:hanging="504"/>
      </w:pPr>
      <w:rPr>
        <w:sz w:val="20"/>
        <w:b w:val="false"/>
        <w:szCs w:val="20"/>
        <w:color w:val="FF0000"/>
      </w:rPr>
    </w:lvl>
    <w:lvl w:ilvl="3">
      <w:start w:val="1"/>
      <w:numFmt w:val="decimal"/>
      <w:lvlText w:val="%1.%2.%3.%4."/>
      <w:lvlJc w:val="left"/>
      <w:pPr>
        <w:ind w:left="1728" w:hanging="648"/>
      </w:pPr>
      <w:rPr>
        <w:sz w:val="20"/>
        <w:b w:val="false"/>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8"/>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lvl w:ilvl="0">
      <w:start w:val="1"/>
      <w:numFmt w:val="decimal"/>
      <w:lvlText w:val="%1."/>
      <w:lvlJc w:val="left"/>
      <w:pPr>
        <w:ind w:left="644" w:hanging="360"/>
      </w:pPr>
    </w:lvl>
    <w:lvl w:ilvl="1">
      <w:start w:val="1"/>
      <w:numFmt w:val="decimal"/>
      <w:lvlText w:val="%1.%2."/>
      <w:lvlJc w:val="left"/>
      <w:pPr>
        <w:ind w:left="716" w:hanging="432"/>
      </w:pPr>
      <w:rPr>
        <w:i w:val="false"/>
        <w:b/>
        <w:lang w:val="x-none"/>
      </w:rPr>
    </w:lvl>
    <w:lvl w:ilvl="2">
      <w:start w:val="1"/>
      <w:numFmt w:val="decimal"/>
      <w:lvlText w:val="%1.%2.%3."/>
      <w:lvlJc w:val="left"/>
      <w:pPr>
        <w:ind w:left="1922" w:hanging="504"/>
      </w:pPr>
    </w:lvl>
    <w:lvl w:ilvl="3">
      <w:start w:val="1"/>
      <w:numFmt w:val="decimal"/>
      <w:lvlText w:val="%1.%2.%3.%4."/>
      <w:lvlJc w:val="left"/>
      <w:pPr>
        <w:ind w:left="2491" w:hanging="648"/>
      </w:pPr>
      <w:rPr>
        <w:i w:val="false"/>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8"/>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lvl w:ilvl="0">
      <w:start w:val="21"/>
      <w:numFmt w:val="decimal"/>
      <w:lvlText w:val="%1."/>
      <w:lvlJc w:val="left"/>
      <w:pPr>
        <w:ind w:left="360" w:hanging="360"/>
      </w:pPr>
    </w:lvl>
    <w:lvl w:ilvl="1">
      <w:start w:val="1"/>
      <w:numFmt w:val="decimal"/>
      <w:lvlText w:val="%1.%2."/>
      <w:lvlJc w:val="left"/>
      <w:pPr>
        <w:ind w:left="792" w:hanging="432"/>
      </w:pPr>
      <w:rPr>
        <w:i w:val="false"/>
        <w:b w:val="false"/>
      </w:rPr>
    </w:lvl>
    <w:lvl w:ilvl="2">
      <w:start w:val="1"/>
      <w:numFmt w:val="decimal"/>
      <w:lvlText w:val="%1.%2.%3."/>
      <w:lvlJc w:val="left"/>
      <w:pPr>
        <w:ind w:left="1224" w:hanging="504"/>
      </w:pPr>
      <w:rPr>
        <w:b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7"/>
      <w:numFmt w:val="decimal"/>
      <w:lvlText w:val="%1."/>
      <w:lvlJc w:val="left"/>
      <w:pPr>
        <w:ind w:left="360" w:hanging="360"/>
      </w:pPr>
    </w:lvl>
    <w:lvl w:ilvl="1">
      <w:start w:val="1"/>
      <w:numFmt w:val="decimal"/>
      <w:lvlText w:val="%1.%2."/>
      <w:lvlJc w:val="left"/>
      <w:pPr>
        <w:ind w:left="792" w:hanging="432"/>
      </w:pPr>
      <w:rPr>
        <w:i w:val="false"/>
        <w:b w:val="false"/>
      </w:rPr>
    </w:lvl>
    <w:lvl w:ilvl="2">
      <w:start w:val="1"/>
      <w:numFmt w:val="decimal"/>
      <w:lvlText w:val="%1.%2.%3."/>
      <w:lvlJc w:val="left"/>
      <w:pPr>
        <w:ind w:left="1224" w:hanging="504"/>
      </w:pPr>
      <w:rPr>
        <w:b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20"/>
      <w:numFmt w:val="decimal"/>
      <w:lvlText w:val="%1."/>
      <w:lvlJc w:val="left"/>
      <w:pPr>
        <w:ind w:left="360" w:hanging="360"/>
      </w:pPr>
    </w:lvl>
    <w:lvl w:ilvl="1">
      <w:start w:val="4"/>
      <w:numFmt w:val="decimal"/>
      <w:lvlText w:val="%1.%2."/>
      <w:lvlJc w:val="left"/>
      <w:pPr>
        <w:ind w:left="792" w:hanging="432"/>
      </w:pPr>
      <w:rPr>
        <w:i w:val="false"/>
        <w:b w:val="false"/>
      </w:rPr>
    </w:lvl>
    <w:lvl w:ilvl="2">
      <w:start w:val="1"/>
      <w:numFmt w:val="decimal"/>
      <w:lvlText w:val="%1.%2.%3."/>
      <w:lvlJc w:val="left"/>
      <w:pPr>
        <w:ind w:left="1224" w:hanging="504"/>
      </w:pPr>
      <w:rPr>
        <w:b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8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enforcement="1" w:cryptProviderType="rsaAES" w:cryptAlgorithmClass="hash" w:cryptAlgorithmType="typeAny" w:cryptAlgorithmSid="14" w:cryptSpinCount="100000" w:hash="8yQy6vtYXeLYTPI3q4WJJN1IxS3LpjDfSZlvrHBqi8HuOoDyZrcFJ0BprmMp81TR3OUENx22ymVYrDv7tQdPoA==" w:salt="LwM6kIiglkP8IqUCgxRDZA=="/>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d390a"/>
    <w:pPr>
      <w:widowControl/>
      <w:bidi w:val="0"/>
      <w:jc w:val="left"/>
    </w:pPr>
    <w:rPr>
      <w:rFonts w:ascii="Arial" w:hAnsi="Arial" w:cs="Tahoma" w:eastAsia="Times New Roman"/>
      <w:color w:val="auto"/>
      <w:kern w:val="0"/>
      <w:sz w:val="20"/>
      <w:szCs w:val="24"/>
      <w:lang w:val="pt-BR" w:eastAsia="pt-BR" w:bidi="ar-SA"/>
    </w:rPr>
  </w:style>
  <w:style w:type="paragraph" w:styleId="Ttulo1">
    <w:name w:val="Heading 1"/>
    <w:basedOn w:val="Normal"/>
    <w:next w:val="Normal"/>
    <w:link w:val="Ttulo1Char"/>
    <w:qFormat/>
    <w:rsid w:val="000d390a"/>
    <w:pPr>
      <w:keepNext w:val="true"/>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semiHidden/>
    <w:unhideWhenUsed/>
    <w:qFormat/>
    <w:rsid w:val="0015519e"/>
    <w:rPr>
      <w:sz w:val="16"/>
      <w:szCs w:val="16"/>
    </w:rPr>
  </w:style>
  <w:style w:type="character" w:styleId="TextodecomentrioChar" w:customStyle="1">
    <w:name w:val="Texto de comentário Char"/>
    <w:basedOn w:val="DefaultParagraphFont"/>
    <w:link w:val="Textodecomentrio"/>
    <w:qFormat/>
    <w:rsid w:val="0015519e"/>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styleId="CabealhoChar" w:customStyle="1">
    <w:name w:val="Cabeçalho Char"/>
    <w:basedOn w:val="DefaultParagraphFont"/>
    <w:link w:val="Cabealho"/>
    <w:qFormat/>
    <w:rsid w:val="00db64ef"/>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b64ef"/>
    <w:rPr>
      <w:rFonts w:ascii="Ecofont_Spranq_eco_Sans" w:hAnsi="Ecofont_Spranq_eco_Sans" w:cs="Tahoma"/>
      <w:sz w:val="24"/>
      <w:szCs w:val="24"/>
    </w:rPr>
  </w:style>
  <w:style w:type="character" w:styleId="Ttulo1Char" w:customStyle="1">
    <w:name w:val="Título 1 Char"/>
    <w:basedOn w:val="DefaultParagraphFont"/>
    <w:link w:val="Ttulo1"/>
    <w:qFormat/>
    <w:rsid w:val="000d390a"/>
    <w:rPr>
      <w:rFonts w:ascii="Cambria" w:hAnsi="Cambria" w:eastAsia="ＭＳ ゴシック" w:cs="Times New Roman"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0d390a"/>
    <w:rPr>
      <w:rFonts w:ascii="Arial" w:hAnsi="Arial" w:eastAsia="ＭＳ ゴシック" w:cs="Times New Roman" w:cstheme="majorBidi" w:eastAsiaTheme="majorEastAsia"/>
      <w:b/>
      <w:color w:val="000000"/>
      <w:sz w:val="32"/>
      <w:szCs w:val="32"/>
    </w:rPr>
  </w:style>
  <w:style w:type="character" w:styleId="QuoteChar" w:customStyle="1">
    <w:name w:val="Quote Char"/>
    <w:link w:val="Citao1"/>
    <w:qFormat/>
    <w:rsid w:val="00b222ee"/>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e014b9"/>
    <w:rPr/>
  </w:style>
  <w:style w:type="character" w:styleId="Nivel01Char" w:customStyle="1">
    <w:name w:val="Nivel 01 Char"/>
    <w:basedOn w:val="DefaultParagraphFont"/>
    <w:link w:val="Nivel010"/>
    <w:qFormat/>
    <w:locked/>
    <w:rsid w:val="0085196b"/>
    <w:rPr>
      <w:rFonts w:ascii="Arial" w:hAnsi="Arial" w:eastAsia="ＭＳ ゴシック" w:cs="Times New Roman" w:cstheme="majorBidi" w:eastAsiaTheme="majorEastAsia"/>
      <w:b/>
      <w:bCs/>
      <w:color w:val="000000"/>
      <w:sz w:val="32"/>
      <w:szCs w:val="32"/>
    </w:rPr>
  </w:style>
  <w:style w:type="character" w:styleId="Strong">
    <w:name w:val="Strong"/>
    <w:basedOn w:val="DefaultParagraphFont"/>
    <w:uiPriority w:val="22"/>
    <w:qFormat/>
    <w:rsid w:val="0085196b"/>
    <w:rPr>
      <w:b/>
      <w:bCs/>
    </w:rPr>
  </w:style>
  <w:style w:type="character" w:styleId="GradeColoridanfase1Char" w:customStyle="1">
    <w:name w:val="Grade Colorida - Ênfase 1 Char"/>
    <w:link w:val="GradeColorida-nfase11"/>
    <w:uiPriority w:val="29"/>
    <w:qFormat/>
    <w:rsid w:val="00dd3603"/>
    <w:rPr>
      <w:rFonts w:ascii="Ecofont_Spranq_eco_Sans" w:hAnsi="Ecofont_Spranq_eco_Sans" w:eastAsia="Calibri" w:cs="Ecofont_Spranq_eco_Sans"/>
      <w:i/>
      <w:iCs/>
      <w:color w:val="000000"/>
      <w:szCs w:val="24"/>
      <w:shd w:fill="FFFFCC" w:val="clear"/>
      <w:lang w:val="x-none"/>
    </w:rPr>
  </w:style>
  <w:style w:type="character" w:styleId="WW8Num2z1" w:customStyle="1">
    <w:name w:val="WW8Num2z1"/>
    <w:qFormat/>
    <w:rsid w:val="007b7e1c"/>
    <w:rPr>
      <w:i w:val="false"/>
    </w:rPr>
  </w:style>
  <w:style w:type="character" w:styleId="Nfase">
    <w:name w:val="Ênfase"/>
    <w:basedOn w:val="DefaultParagraphFont"/>
    <w:uiPriority w:val="20"/>
    <w:qFormat/>
    <w:rsid w:val="00f70f2b"/>
    <w:rPr>
      <w:i/>
      <w:iCs/>
    </w:rPr>
  </w:style>
  <w:style w:type="character" w:styleId="Nivel2Char" w:customStyle="1">
    <w:name w:val="Nivel 2 Char"/>
    <w:basedOn w:val="DefaultParagraphFont"/>
    <w:link w:val="Nivel2"/>
    <w:qFormat/>
    <w:rsid w:val="00d7051d"/>
    <w:rPr>
      <w:rFonts w:ascii="Ecofont_Spranq_eco_Sans" w:hAnsi="Ecofont_Spranq_eco_Sans" w:eastAsia="Arial Unicode M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fill="FFFFCC" w:val="clear"/>
    </w:pPr>
    <w:rPr>
      <w:szCs w:val="20"/>
    </w:rPr>
  </w:style>
  <w:style w:type="paragraph" w:styleId="Annotationtext">
    <w:name w:val="annotation text"/>
    <w:basedOn w:val="Normal"/>
    <w:link w:val="TextodecomentrioChar"/>
    <w:unhideWhenUsed/>
    <w:qFormat/>
    <w:rsid w:val="0015519e"/>
    <w:pPr/>
    <w:rPr>
      <w:szCs w:val="20"/>
    </w:rPr>
  </w:style>
  <w:style w:type="paragraph" w:styleId="Annotationsubject">
    <w:name w:val="annotation subject"/>
    <w:basedOn w:val="Annotationtext"/>
    <w:next w:val="Annotationtext"/>
    <w:link w:val="AssuntodocomentrioChar"/>
    <w:semiHidden/>
    <w:unhideWhenUsed/>
    <w:qFormat/>
    <w:rsid w:val="0015519e"/>
    <w:pPr/>
    <w:rPr>
      <w:b/>
      <w:bCs/>
    </w:rPr>
  </w:style>
  <w:style w:type="paragraph" w:styleId="CabealhoeRodap">
    <w:name w:val="Cabeçalho e Rodapé"/>
    <w:basedOn w:val="Normal"/>
    <w:qFormat/>
    <w:pPr/>
    <w:rPr/>
  </w:style>
  <w:style w:type="paragraph" w:styleId="Cabealho">
    <w:name w:val="Header"/>
    <w:basedOn w:val="Normal"/>
    <w:link w:val="CabealhoChar"/>
    <w:unhideWhenUsed/>
    <w:rsid w:val="00db64ef"/>
    <w:pPr>
      <w:tabs>
        <w:tab w:val="clear" w:pos="708"/>
        <w:tab w:val="center" w:pos="4252" w:leader="none"/>
        <w:tab w:val="right" w:pos="8504" w:leader="none"/>
      </w:tabs>
    </w:pPr>
    <w:rPr/>
  </w:style>
  <w:style w:type="paragraph" w:styleId="Rodap">
    <w:name w:val="Footer"/>
    <w:basedOn w:val="Normal"/>
    <w:link w:val="RodapChar"/>
    <w:uiPriority w:val="99"/>
    <w:unhideWhenUsed/>
    <w:rsid w:val="00db64ef"/>
    <w:pPr>
      <w:tabs>
        <w:tab w:val="clear" w:pos="708"/>
        <w:tab w:val="center" w:pos="4252" w:leader="none"/>
        <w:tab w:val="right" w:pos="8504" w:leader="none"/>
      </w:tabs>
    </w:pPr>
    <w:rPr/>
  </w:style>
  <w:style w:type="paragraph" w:styleId="Nivel1" w:customStyle="1">
    <w:name w:val="Nivel1"/>
    <w:basedOn w:val="Ttulo1"/>
    <w:link w:val="Nivel1Char"/>
    <w:qFormat/>
    <w:rsid w:val="000d390a"/>
    <w:pPr>
      <w:spacing w:lineRule="auto" w:line="276" w:before="480" w:after="0"/>
      <w:jc w:val="both"/>
    </w:pPr>
    <w:rPr>
      <w:rFonts w:ascii="Arial" w:hAnsi="Arial" w:cs="Times New Roman"/>
      <w:b/>
      <w:color w:val="000000"/>
      <w:sz w:val="20"/>
      <w:szCs w:val="20"/>
    </w:rPr>
  </w:style>
  <w:style w:type="paragraph" w:styleId="Revision">
    <w:name w:val="Revision"/>
    <w:uiPriority w:val="99"/>
    <w:semiHidden/>
    <w:qFormat/>
    <w:rsid w:val="00656f07"/>
    <w:pPr>
      <w:widowControl/>
      <w:bidi w:val="0"/>
      <w:jc w:val="left"/>
    </w:pPr>
    <w:rPr>
      <w:rFonts w:ascii="Arial" w:hAnsi="Arial" w:cs="Tahoma" w:eastAsia="Times New Roman"/>
      <w:color w:val="auto"/>
      <w:kern w:val="0"/>
      <w:sz w:val="20"/>
      <w:szCs w:val="24"/>
      <w:lang w:val="pt-BR" w:eastAsia="pt-BR" w:bidi="ar-SA"/>
    </w:rPr>
  </w:style>
  <w:style w:type="paragraph" w:styleId="PargrafodaLista1" w:customStyle="1">
    <w:name w:val="Parágrafo da Lista1"/>
    <w:basedOn w:val="Normal"/>
    <w:qFormat/>
    <w:rsid w:val="00b222ee"/>
    <w:pPr>
      <w:ind w:left="720" w:hanging="0"/>
    </w:pPr>
    <w:rPr>
      <w:rFonts w:ascii="Ecofont_Spranq_eco_Sans" w:hAnsi="Ecofont_Spranq_eco_Sans" w:cs="Ecofont_Spranq_eco_Sans"/>
      <w:sz w:val="24"/>
    </w:rPr>
  </w:style>
  <w:style w:type="paragraph" w:styleId="Citao1" w:customStyle="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SombreamentoMdio1nfase31" w:customStyle="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Nivel01" w:customStyle="1">
    <w:name w:val="Nivel 01"/>
    <w:basedOn w:val="Ttulo1"/>
    <w:next w:val="Normal"/>
    <w:link w:val="Nivel01Char"/>
    <w:qFormat/>
    <w:rsid w:val="0085196b"/>
    <w:pPr>
      <w:spacing w:lineRule="auto" w:line="276" w:before="480" w:after="120"/>
      <w:ind w:left="360" w:right="-15" w:hanging="360"/>
      <w:jc w:val="both"/>
    </w:pPr>
    <w:rPr>
      <w:rFonts w:ascii="Arial" w:hAnsi="Arial"/>
      <w:b/>
      <w:bCs/>
      <w:color w:val="000000"/>
    </w:rPr>
  </w:style>
  <w:style w:type="paragraph" w:styleId="Textojustificado" w:customStyle="1">
    <w:name w:val="texto_justificado"/>
    <w:basedOn w:val="Normal"/>
    <w:qFormat/>
    <w:rsid w:val="0085196b"/>
    <w:pPr>
      <w:spacing w:beforeAutospacing="1" w:afterAutospacing="1"/>
    </w:pPr>
    <w:rPr>
      <w:rFonts w:ascii="Times New Roman" w:hAnsi="Times New Roman" w:cs="Times New Roman"/>
      <w:sz w:val="24"/>
    </w:rPr>
  </w:style>
  <w:style w:type="paragraph" w:styleId="Nivel011" w:customStyle="1">
    <w:name w:val="Nivel_01"/>
    <w:basedOn w:val="Ttulo1"/>
    <w:qFormat/>
    <w:rsid w:val="00b75c3f"/>
    <w:pPr>
      <w:tabs>
        <w:tab w:val="clear" w:pos="708"/>
        <w:tab w:val="left" w:pos="360" w:leader="none"/>
        <w:tab w:val="left" w:pos="567" w:leader="none"/>
      </w:tabs>
      <w:jc w:val="both"/>
    </w:pPr>
    <w:rPr>
      <w:rFonts w:ascii="Ecofont_Spranq_eco_Sans" w:hAnsi="Ecofont_Spranq_eco_Sans" w:cs="Times New Roman"/>
      <w:b/>
      <w:bCs/>
      <w:color w:val="auto"/>
      <w:sz w:val="20"/>
      <w:szCs w:val="20"/>
    </w:rPr>
  </w:style>
  <w:style w:type="paragraph" w:styleId="GradeColoridanfase11" w:customStyle="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Ecofont_Spranq_eco_Sans"/>
      <w:i/>
      <w:iCs/>
      <w:color w:val="000000"/>
      <w:lang w:val="x-none"/>
    </w:rPr>
  </w:style>
  <w:style w:type="paragraph" w:styleId="PargrafodaLista2" w:customStyle="1">
    <w:name w:val="Parágrafo da Lista2"/>
    <w:basedOn w:val="Normal"/>
    <w:qFormat/>
    <w:rsid w:val="001c3ab6"/>
    <w:pPr>
      <w:ind w:left="720" w:hanging="0"/>
    </w:pPr>
    <w:rPr>
      <w:rFonts w:ascii="Ecofont_Spranq_eco_Sans" w:hAnsi="Ecofont_Spranq_eco_Sans"/>
      <w:sz w:val="24"/>
    </w:rPr>
  </w:style>
  <w:style w:type="paragraph" w:styleId="GradeColoridanfase110" w:customStyle="1">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Nivel2" w:customStyle="1">
    <w:name w:val="Nivel 2"/>
    <w:link w:val="Nivel2Char"/>
    <w:qFormat/>
    <w:rsid w:val="00d7051d"/>
    <w:pPr>
      <w:widowControl/>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d7051d"/>
    <w:pPr>
      <w:tabs>
        <w:tab w:val="clear" w:pos="708"/>
        <w:tab w:val="left" w:pos="360" w:leader="none"/>
      </w:tabs>
      <w:ind w:left="644" w:hanging="432"/>
    </w:pPr>
    <w:rPr>
      <w:rFonts w:cs="Arial"/>
      <w:b/>
    </w:rPr>
  </w:style>
  <w:style w:type="paragraph" w:styleId="Nivel3" w:customStyle="1">
    <w:name w:val="Nivel 3"/>
    <w:basedOn w:val="Nivel2"/>
    <w:qFormat/>
    <w:rsid w:val="00d7051d"/>
    <w:pPr>
      <w:tabs>
        <w:tab w:val="clear" w:pos="708"/>
        <w:tab w:val="left" w:pos="360" w:leader="none"/>
      </w:tabs>
      <w:ind w:left="1922" w:hanging="0"/>
    </w:pPr>
    <w:rPr>
      <w:rFonts w:cs="Arial"/>
      <w:color w:val="000000"/>
    </w:rPr>
  </w:style>
  <w:style w:type="paragraph" w:styleId="Nivel4" w:customStyle="1">
    <w:name w:val="Nivel 4"/>
    <w:basedOn w:val="Nivel3"/>
    <w:qFormat/>
    <w:rsid w:val="00d7051d"/>
    <w:pPr>
      <w:tabs>
        <w:tab w:val="left" w:pos="360" w:leader="none"/>
      </w:tabs>
      <w:ind w:left="2491" w:hanging="0"/>
    </w:pPr>
    <w:rPr>
      <w:color w:val="auto"/>
    </w:rPr>
  </w:style>
  <w:style w:type="paragraph" w:styleId="Nivel5" w:customStyle="1">
    <w:name w:val="Nivel 5"/>
    <w:basedOn w:val="Nivel4"/>
    <w:qFormat/>
    <w:rsid w:val="00d7051d"/>
    <w:pPr>
      <w:tabs>
        <w:tab w:val="left" w:pos="360" w:leader="none"/>
      </w:tabs>
      <w:ind w:left="3485"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85196b"/>
    <w:rPr>
      <w:rFonts w:eastAsiaTheme="minorEastAsia"/>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402366-ABEB-4543-9581-81ED6601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96</TotalTime>
  <Application>LibreOffice/6.3.1.2$Windows_x86 LibreOffice_project/b79626edf0065ac373bd1df5c28bd630b4424273</Application>
  <Pages>18</Pages>
  <Words>765</Words>
  <Characters>4315</Characters>
  <CharactersWithSpaces>5000</CharactersWithSpaces>
  <Paragraphs>49</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2020-03-05T15:08:00Z</dcterms:created>
  <dc:creator>Adriano</dc:creator>
  <dc:description/>
  <dc:language>pt-BR</dc:language>
  <cp:lastModifiedBy>THAIS DOS SANTOS ZAMBA</cp:lastModifiedBy>
  <cp:lastPrinted>2017-09-20T11:39:00Z</cp:lastPrinted>
  <dcterms:modified xsi:type="dcterms:W3CDTF">2020-03-05T17:00:00Z</dcterms:modified>
  <cp:revision>4</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8</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