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4E" w:rsidRDefault="00002D4E" w:rsidP="00002D4E">
      <w:r>
        <w:rPr>
          <w:noProof/>
          <w:lang w:val="en-US"/>
        </w:rPr>
        <w:t xml:space="preserve">                                           </w:t>
      </w:r>
      <w:r>
        <w:t xml:space="preserve">                                                         </w:t>
      </w:r>
    </w:p>
    <w:p w:rsidR="0023725A" w:rsidRDefault="0023725A" w:rsidP="0023725A">
      <w:r>
        <w:t xml:space="preserve">  </w:t>
      </w:r>
      <w:r>
        <w:rPr>
          <w:noProof/>
          <w:lang w:eastAsia="pt-BR"/>
        </w:rPr>
        <w:drawing>
          <wp:inline distT="0" distB="0" distL="0" distR="0">
            <wp:extent cx="2169795" cy="1173480"/>
            <wp:effectExtent l="0" t="0" r="1905" b="76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US"/>
        </w:rPr>
        <w:t xml:space="preserve">                                          </w:t>
      </w:r>
      <w:r>
        <w:rPr>
          <w:noProof/>
          <w:lang w:eastAsia="pt-BR"/>
        </w:rPr>
        <w:drawing>
          <wp:inline distT="0" distB="0" distL="0" distR="0">
            <wp:extent cx="1091565" cy="10915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t xml:space="preserve">       </w:t>
      </w:r>
      <w:r>
        <w:t xml:space="preserve">                                                         </w:t>
      </w:r>
    </w:p>
    <w:p w:rsidR="00AD3886" w:rsidRPr="0090309B" w:rsidRDefault="00AD3886" w:rsidP="00AD3886"/>
    <w:p w:rsidR="009609EE" w:rsidRPr="0090309B" w:rsidRDefault="009609EE" w:rsidP="00AD3886"/>
    <w:p w:rsidR="002C58BD" w:rsidRPr="008E7112" w:rsidRDefault="00D75F60" w:rsidP="006A7A52">
      <w:pPr>
        <w:pStyle w:val="Ttulo"/>
        <w:rPr>
          <w:rFonts w:ascii="Times New Roman" w:hAnsi="Times New Roman"/>
          <w:i/>
        </w:rPr>
      </w:pPr>
      <w:r w:rsidRPr="008E7112">
        <w:rPr>
          <w:rFonts w:ascii="Times New Roman" w:hAnsi="Times New Roman"/>
          <w:i/>
        </w:rPr>
        <w:t xml:space="preserve">O </w:t>
      </w:r>
      <w:proofErr w:type="spellStart"/>
      <w:r w:rsidRPr="008E7112">
        <w:rPr>
          <w:rFonts w:ascii="Times New Roman" w:hAnsi="Times New Roman"/>
          <w:i/>
        </w:rPr>
        <w:t>Contratenor</w:t>
      </w:r>
      <w:proofErr w:type="spellEnd"/>
      <w:r w:rsidRPr="008E7112">
        <w:rPr>
          <w:rFonts w:ascii="Times New Roman" w:hAnsi="Times New Roman"/>
          <w:i/>
        </w:rPr>
        <w:t xml:space="preserve"> na Polifonia da </w:t>
      </w:r>
      <w:proofErr w:type="spellStart"/>
      <w:r w:rsidRPr="006B5B73">
        <w:rPr>
          <w:rFonts w:ascii="Times New Roman" w:hAnsi="Times New Roman"/>
        </w:rPr>
        <w:t>Ars</w:t>
      </w:r>
      <w:proofErr w:type="spellEnd"/>
      <w:r w:rsidRPr="006B5B73">
        <w:rPr>
          <w:rFonts w:ascii="Times New Roman" w:hAnsi="Times New Roman"/>
        </w:rPr>
        <w:t xml:space="preserve"> Nova</w:t>
      </w:r>
      <w:r w:rsidRPr="008E7112">
        <w:rPr>
          <w:rFonts w:ascii="Times New Roman" w:hAnsi="Times New Roman"/>
          <w:i/>
        </w:rPr>
        <w:t>: uma voz em desacordo</w:t>
      </w:r>
    </w:p>
    <w:p w:rsidR="00D75F60" w:rsidRPr="00D75F60" w:rsidRDefault="00D75F60" w:rsidP="00D75F60">
      <w:pPr>
        <w:rPr>
          <w:rFonts w:ascii="Times New Roman" w:hAnsi="Times New Roman"/>
        </w:rPr>
      </w:pPr>
    </w:p>
    <w:p w:rsidR="004F2998" w:rsidRPr="00D75F60" w:rsidRDefault="00320CFF" w:rsidP="004F2998">
      <w:pPr>
        <w:jc w:val="right"/>
        <w:rPr>
          <w:rFonts w:ascii="Times New Roman" w:hAnsi="Times New Roman"/>
          <w:i/>
        </w:rPr>
      </w:pPr>
      <w:r w:rsidRPr="00D75F60">
        <w:rPr>
          <w:rFonts w:ascii="Times New Roman" w:hAnsi="Times New Roman"/>
          <w:i/>
        </w:rPr>
        <w:t xml:space="preserve">Pedro </w:t>
      </w:r>
      <w:proofErr w:type="spellStart"/>
      <w:r w:rsidRPr="00D75F60">
        <w:rPr>
          <w:rFonts w:ascii="Times New Roman" w:hAnsi="Times New Roman"/>
          <w:i/>
        </w:rPr>
        <w:t>Hasselmann</w:t>
      </w:r>
      <w:proofErr w:type="spellEnd"/>
      <w:r w:rsidRPr="00D75F60">
        <w:rPr>
          <w:rFonts w:ascii="Times New Roman" w:hAnsi="Times New Roman"/>
          <w:i/>
        </w:rPr>
        <w:t xml:space="preserve"> Novaes</w:t>
      </w:r>
    </w:p>
    <w:p w:rsidR="004F2998" w:rsidRPr="00D75F60" w:rsidRDefault="004F2998" w:rsidP="004F2998">
      <w:pPr>
        <w:jc w:val="right"/>
        <w:rPr>
          <w:rFonts w:ascii="Times New Roman" w:hAnsi="Times New Roman"/>
          <w:i/>
        </w:rPr>
      </w:pPr>
      <w:proofErr w:type="gramStart"/>
      <w:r w:rsidRPr="00D75F60">
        <w:rPr>
          <w:rFonts w:ascii="Times New Roman" w:hAnsi="Times New Roman"/>
          <w:i/>
        </w:rPr>
        <w:t>Orientador(</w:t>
      </w:r>
      <w:proofErr w:type="gramEnd"/>
      <w:r w:rsidRPr="00D75F60">
        <w:rPr>
          <w:rFonts w:ascii="Times New Roman" w:hAnsi="Times New Roman"/>
          <w:i/>
        </w:rPr>
        <w:t xml:space="preserve">a): </w:t>
      </w:r>
      <w:r w:rsidR="00320CFF" w:rsidRPr="00D75F60">
        <w:rPr>
          <w:rFonts w:ascii="Times New Roman" w:hAnsi="Times New Roman"/>
          <w:i/>
        </w:rPr>
        <w:t xml:space="preserve">Prof. Dr. Clayton </w:t>
      </w:r>
      <w:proofErr w:type="spellStart"/>
      <w:r w:rsidR="00320CFF" w:rsidRPr="00D75F60">
        <w:rPr>
          <w:rFonts w:ascii="Times New Roman" w:hAnsi="Times New Roman"/>
          <w:i/>
        </w:rPr>
        <w:t>Vetromilla</w:t>
      </w:r>
      <w:proofErr w:type="spellEnd"/>
    </w:p>
    <w:p w:rsidR="006E694B" w:rsidRPr="00D75F60" w:rsidRDefault="00513213" w:rsidP="004F2998">
      <w:pPr>
        <w:spacing w:after="360"/>
        <w:jc w:val="right"/>
        <w:rPr>
          <w:rFonts w:ascii="Times New Roman" w:hAnsi="Times New Roman"/>
          <w:i/>
        </w:rPr>
      </w:pPr>
      <w:r w:rsidRPr="00D75F60">
        <w:rPr>
          <w:rFonts w:ascii="Times New Roman" w:hAnsi="Times New Roman"/>
          <w:i/>
        </w:rPr>
        <w:t xml:space="preserve">Programa-Instituição </w:t>
      </w:r>
      <w:r w:rsidR="004F2998" w:rsidRPr="00D75F60">
        <w:rPr>
          <w:rFonts w:ascii="Times New Roman" w:hAnsi="Times New Roman"/>
          <w:i/>
        </w:rPr>
        <w:t>PPGM-UNIRIO</w:t>
      </w:r>
    </w:p>
    <w:p w:rsidR="00E8303F" w:rsidRDefault="00BB36F4" w:rsidP="004F2998">
      <w:pPr>
        <w:spacing w:line="240" w:lineRule="auto"/>
        <w:ind w:firstLine="708"/>
        <w:rPr>
          <w:rFonts w:ascii="Times New Roman" w:hAnsi="Times New Roman"/>
        </w:rPr>
      </w:pPr>
      <w:proofErr w:type="spellStart"/>
      <w:r w:rsidRPr="00BB36F4">
        <w:rPr>
          <w:rFonts w:ascii="Times New Roman" w:hAnsi="Times New Roman"/>
          <w:i/>
        </w:rPr>
        <w:t>Contratenor</w:t>
      </w:r>
      <w:proofErr w:type="spellEnd"/>
      <w:r>
        <w:rPr>
          <w:rFonts w:ascii="Times New Roman" w:hAnsi="Times New Roman"/>
        </w:rPr>
        <w:t xml:space="preserve"> é como se denomina uma das </w:t>
      </w:r>
      <w:r w:rsidR="00EA37F2">
        <w:rPr>
          <w:rFonts w:ascii="Times New Roman" w:hAnsi="Times New Roman"/>
        </w:rPr>
        <w:t>partes da polifonia vocal e instrumental</w:t>
      </w:r>
      <w:r w:rsidR="00412777">
        <w:rPr>
          <w:rFonts w:ascii="Times New Roman" w:hAnsi="Times New Roman"/>
        </w:rPr>
        <w:t xml:space="preserve"> europeia </w:t>
      </w:r>
      <w:r>
        <w:rPr>
          <w:rFonts w:ascii="Times New Roman" w:hAnsi="Times New Roman"/>
        </w:rPr>
        <w:t xml:space="preserve">dos séculos XIV e XV. </w:t>
      </w:r>
      <w:r w:rsidR="00412777">
        <w:rPr>
          <w:rFonts w:ascii="Times New Roman" w:hAnsi="Times New Roman"/>
        </w:rPr>
        <w:t>Até cerca de 1450</w:t>
      </w:r>
      <w:r w:rsidR="00AC2BF2">
        <w:rPr>
          <w:rFonts w:ascii="Times New Roman" w:hAnsi="Times New Roman"/>
        </w:rPr>
        <w:t>,</w:t>
      </w:r>
      <w:r w:rsidR="00412777">
        <w:rPr>
          <w:rFonts w:ascii="Times New Roman" w:hAnsi="Times New Roman"/>
        </w:rPr>
        <w:t xml:space="preserve"> a polifonia pertence</w:t>
      </w:r>
      <w:r w:rsidR="00393690">
        <w:rPr>
          <w:rFonts w:ascii="Times New Roman" w:hAnsi="Times New Roman"/>
        </w:rPr>
        <w:t xml:space="preserve">nte </w:t>
      </w:r>
      <w:r w:rsidR="0048324E">
        <w:rPr>
          <w:rFonts w:ascii="Times New Roman" w:hAnsi="Times New Roman"/>
        </w:rPr>
        <w:t xml:space="preserve">ou herdeira da tradição musical da Idade Média </w:t>
      </w:r>
      <w:r w:rsidR="00D54BC1">
        <w:rPr>
          <w:rFonts w:ascii="Times New Roman" w:hAnsi="Times New Roman"/>
        </w:rPr>
        <w:t>era praticada a duas,</w:t>
      </w:r>
      <w:r w:rsidR="00412777">
        <w:rPr>
          <w:rFonts w:ascii="Times New Roman" w:hAnsi="Times New Roman"/>
        </w:rPr>
        <w:t xml:space="preserve"> três e</w:t>
      </w:r>
      <w:r w:rsidR="00AC2BF2">
        <w:rPr>
          <w:rFonts w:ascii="Times New Roman" w:hAnsi="Times New Roman"/>
        </w:rPr>
        <w:t>,</w:t>
      </w:r>
      <w:r w:rsidR="00412777">
        <w:rPr>
          <w:rFonts w:ascii="Times New Roman" w:hAnsi="Times New Roman"/>
        </w:rPr>
        <w:t xml:space="preserve"> excepcionalmente</w:t>
      </w:r>
      <w:r w:rsidR="00AC2BF2">
        <w:rPr>
          <w:rFonts w:ascii="Times New Roman" w:hAnsi="Times New Roman"/>
        </w:rPr>
        <w:t>,</w:t>
      </w:r>
      <w:r w:rsidR="00412777">
        <w:rPr>
          <w:rFonts w:ascii="Times New Roman" w:hAnsi="Times New Roman"/>
        </w:rPr>
        <w:t xml:space="preserve"> a quatro vozes. </w:t>
      </w:r>
      <w:r w:rsidR="00440F5E">
        <w:rPr>
          <w:rFonts w:ascii="Times New Roman" w:hAnsi="Times New Roman"/>
        </w:rPr>
        <w:t>ROTTER-BROMAN</w:t>
      </w:r>
      <w:r w:rsidR="00412777">
        <w:rPr>
          <w:rFonts w:ascii="Times New Roman" w:hAnsi="Times New Roman"/>
        </w:rPr>
        <w:t xml:space="preserve"> </w:t>
      </w:r>
      <w:r w:rsidR="00AC2BF2">
        <w:rPr>
          <w:rFonts w:ascii="Times New Roman" w:hAnsi="Times New Roman"/>
        </w:rPr>
        <w:t>(</w:t>
      </w:r>
      <w:r w:rsidR="00393690">
        <w:rPr>
          <w:rFonts w:ascii="Times New Roman" w:hAnsi="Times New Roman"/>
        </w:rPr>
        <w:t xml:space="preserve">2016) </w:t>
      </w:r>
      <w:r w:rsidR="0048324E">
        <w:rPr>
          <w:rFonts w:ascii="Times New Roman" w:hAnsi="Times New Roman"/>
        </w:rPr>
        <w:t>observa que o</w:t>
      </w:r>
      <w:r w:rsidR="00393690">
        <w:rPr>
          <w:rFonts w:ascii="Times New Roman" w:hAnsi="Times New Roman"/>
        </w:rPr>
        <w:t xml:space="preserve"> núcleo</w:t>
      </w:r>
      <w:r w:rsidR="0048324E">
        <w:rPr>
          <w:rFonts w:ascii="Times New Roman" w:hAnsi="Times New Roman"/>
        </w:rPr>
        <w:t xml:space="preserve"> do contraponto desse período</w:t>
      </w:r>
      <w:r w:rsidR="005D581B">
        <w:rPr>
          <w:rFonts w:ascii="Times New Roman" w:hAnsi="Times New Roman"/>
        </w:rPr>
        <w:t xml:space="preserve"> </w:t>
      </w:r>
      <w:r w:rsidR="0053642B">
        <w:rPr>
          <w:rFonts w:ascii="Times New Roman" w:hAnsi="Times New Roman"/>
        </w:rPr>
        <w:t xml:space="preserve">compreendia </w:t>
      </w:r>
      <w:r w:rsidR="005D581B">
        <w:rPr>
          <w:rFonts w:ascii="Times New Roman" w:hAnsi="Times New Roman"/>
        </w:rPr>
        <w:t>d</w:t>
      </w:r>
      <w:r w:rsidR="00393690">
        <w:rPr>
          <w:rFonts w:ascii="Times New Roman" w:hAnsi="Times New Roman"/>
        </w:rPr>
        <w:t xml:space="preserve">uas </w:t>
      </w:r>
      <w:r w:rsidR="0065706C">
        <w:rPr>
          <w:rFonts w:ascii="Times New Roman" w:hAnsi="Times New Roman"/>
        </w:rPr>
        <w:t>delas</w:t>
      </w:r>
      <w:r w:rsidR="00393690">
        <w:rPr>
          <w:rFonts w:ascii="Times New Roman" w:hAnsi="Times New Roman"/>
        </w:rPr>
        <w:t>: o</w:t>
      </w:r>
      <w:r w:rsidR="00AC2BF2">
        <w:rPr>
          <w:rFonts w:ascii="Times New Roman" w:hAnsi="Times New Roman"/>
        </w:rPr>
        <w:t xml:space="preserve"> </w:t>
      </w:r>
      <w:proofErr w:type="spellStart"/>
      <w:r w:rsidR="00AC2BF2" w:rsidRPr="00AC2BF2">
        <w:rPr>
          <w:rFonts w:ascii="Times New Roman" w:hAnsi="Times New Roman"/>
          <w:i/>
        </w:rPr>
        <w:t>cantus</w:t>
      </w:r>
      <w:proofErr w:type="spellEnd"/>
      <w:r w:rsidR="00AC2BF2">
        <w:rPr>
          <w:rFonts w:ascii="Times New Roman" w:hAnsi="Times New Roman"/>
        </w:rPr>
        <w:t xml:space="preserve"> e o </w:t>
      </w:r>
      <w:r w:rsidR="00AC2BF2" w:rsidRPr="00AC2BF2">
        <w:rPr>
          <w:rFonts w:ascii="Times New Roman" w:hAnsi="Times New Roman"/>
          <w:i/>
        </w:rPr>
        <w:t>tenor</w:t>
      </w:r>
      <w:r w:rsidR="00AC2BF2">
        <w:rPr>
          <w:rFonts w:ascii="Times New Roman" w:hAnsi="Times New Roman"/>
        </w:rPr>
        <w:t>, partes</w:t>
      </w:r>
      <w:r w:rsidR="00393690">
        <w:rPr>
          <w:rFonts w:ascii="Times New Roman" w:hAnsi="Times New Roman"/>
        </w:rPr>
        <w:t xml:space="preserve"> que</w:t>
      </w:r>
      <w:r w:rsidR="00280A82">
        <w:rPr>
          <w:rFonts w:ascii="Times New Roman" w:hAnsi="Times New Roman"/>
        </w:rPr>
        <w:t>,</w:t>
      </w:r>
      <w:r w:rsidR="00393690">
        <w:rPr>
          <w:rFonts w:ascii="Times New Roman" w:hAnsi="Times New Roman"/>
        </w:rPr>
        <w:t xml:space="preserve"> segundo teóricos da época, deveriam respeitar mais estritamente às regras de contraponto. </w:t>
      </w:r>
      <w:r w:rsidR="008037E4">
        <w:rPr>
          <w:rFonts w:ascii="Times New Roman" w:hAnsi="Times New Roman"/>
        </w:rPr>
        <w:t xml:space="preserve">Há evidências suficientes para se afirmar que, por definição, </w:t>
      </w:r>
      <w:r w:rsidR="00280A82">
        <w:rPr>
          <w:rFonts w:ascii="Times New Roman" w:hAnsi="Times New Roman"/>
        </w:rPr>
        <w:t>o</w:t>
      </w:r>
      <w:r w:rsidR="005D581B">
        <w:rPr>
          <w:rFonts w:ascii="Times New Roman" w:hAnsi="Times New Roman"/>
        </w:rPr>
        <w:t xml:space="preserve"> </w:t>
      </w:r>
      <w:proofErr w:type="spellStart"/>
      <w:r w:rsidR="005D581B" w:rsidRPr="005D581B">
        <w:rPr>
          <w:rFonts w:ascii="Times New Roman" w:hAnsi="Times New Roman"/>
          <w:i/>
        </w:rPr>
        <w:t>contratenor</w:t>
      </w:r>
      <w:proofErr w:type="spellEnd"/>
      <w:r w:rsidR="005D581B">
        <w:rPr>
          <w:rFonts w:ascii="Times New Roman" w:hAnsi="Times New Roman"/>
        </w:rPr>
        <w:t xml:space="preserve"> </w:t>
      </w:r>
      <w:r w:rsidR="00280A82">
        <w:rPr>
          <w:rFonts w:ascii="Times New Roman" w:hAnsi="Times New Roman"/>
        </w:rPr>
        <w:t>não cons</w:t>
      </w:r>
      <w:r w:rsidR="0053642B">
        <w:rPr>
          <w:rFonts w:ascii="Times New Roman" w:hAnsi="Times New Roman"/>
        </w:rPr>
        <w:t>tituí</w:t>
      </w:r>
      <w:r w:rsidR="008037E4">
        <w:rPr>
          <w:rFonts w:ascii="Times New Roman" w:hAnsi="Times New Roman"/>
        </w:rPr>
        <w:t>a</w:t>
      </w:r>
      <w:r w:rsidR="00280A82">
        <w:rPr>
          <w:rFonts w:ascii="Times New Roman" w:hAnsi="Times New Roman"/>
        </w:rPr>
        <w:t xml:space="preserve"> parte </w:t>
      </w:r>
      <w:r w:rsidR="005D581B">
        <w:rPr>
          <w:rFonts w:ascii="Times New Roman" w:hAnsi="Times New Roman"/>
        </w:rPr>
        <w:t>essencial do contrapo</w:t>
      </w:r>
      <w:r w:rsidR="00280A82">
        <w:rPr>
          <w:rFonts w:ascii="Times New Roman" w:hAnsi="Times New Roman"/>
        </w:rPr>
        <w:t xml:space="preserve">nto, escapando a certos cânones da polifonia escrita em </w:t>
      </w:r>
      <w:r w:rsidR="008037E4">
        <w:rPr>
          <w:rFonts w:ascii="Times New Roman" w:hAnsi="Times New Roman"/>
        </w:rPr>
        <w:t xml:space="preserve">diversas </w:t>
      </w:r>
      <w:r w:rsidR="00280A82">
        <w:rPr>
          <w:rFonts w:ascii="Times New Roman" w:hAnsi="Times New Roman"/>
        </w:rPr>
        <w:t>situações musicais</w:t>
      </w:r>
      <w:r w:rsidR="008037E4">
        <w:rPr>
          <w:rFonts w:ascii="Times New Roman" w:hAnsi="Times New Roman"/>
        </w:rPr>
        <w:t>. Por essa razão,</w:t>
      </w:r>
      <w:r w:rsidR="00280A82">
        <w:rPr>
          <w:rFonts w:ascii="Times New Roman" w:hAnsi="Times New Roman"/>
        </w:rPr>
        <w:t xml:space="preserve"> </w:t>
      </w:r>
      <w:r w:rsidR="006D19A6">
        <w:rPr>
          <w:rFonts w:ascii="Times New Roman" w:hAnsi="Times New Roman"/>
        </w:rPr>
        <w:t xml:space="preserve">recentes </w:t>
      </w:r>
      <w:r w:rsidR="00280A82">
        <w:rPr>
          <w:rFonts w:ascii="Times New Roman" w:hAnsi="Times New Roman"/>
        </w:rPr>
        <w:t>pesquisas</w:t>
      </w:r>
      <w:r w:rsidR="00FE143D">
        <w:rPr>
          <w:rFonts w:ascii="Times New Roman" w:hAnsi="Times New Roman"/>
        </w:rPr>
        <w:t xml:space="preserve"> </w:t>
      </w:r>
      <w:r w:rsidR="005704CB">
        <w:rPr>
          <w:rFonts w:ascii="Times New Roman" w:hAnsi="Times New Roman"/>
        </w:rPr>
        <w:t xml:space="preserve">têm buscado </w:t>
      </w:r>
      <w:r w:rsidR="0053642B">
        <w:rPr>
          <w:rFonts w:ascii="Times New Roman" w:hAnsi="Times New Roman"/>
        </w:rPr>
        <w:t xml:space="preserve">melhor </w:t>
      </w:r>
      <w:r w:rsidR="005704CB">
        <w:rPr>
          <w:rFonts w:ascii="Times New Roman" w:hAnsi="Times New Roman"/>
        </w:rPr>
        <w:t>compreender</w:t>
      </w:r>
      <w:r w:rsidR="00280A82">
        <w:rPr>
          <w:rFonts w:ascii="Times New Roman" w:hAnsi="Times New Roman"/>
        </w:rPr>
        <w:t xml:space="preserve"> </w:t>
      </w:r>
      <w:r w:rsidR="0053642B">
        <w:rPr>
          <w:rFonts w:ascii="Times New Roman" w:hAnsi="Times New Roman"/>
        </w:rPr>
        <w:t xml:space="preserve">sua relação com o </w:t>
      </w:r>
      <w:proofErr w:type="spellStart"/>
      <w:r w:rsidR="0053642B" w:rsidRPr="0053642B">
        <w:rPr>
          <w:rFonts w:ascii="Times New Roman" w:hAnsi="Times New Roman"/>
          <w:i/>
        </w:rPr>
        <w:t>cantus</w:t>
      </w:r>
      <w:proofErr w:type="spellEnd"/>
      <w:r w:rsidR="0053642B">
        <w:rPr>
          <w:rFonts w:ascii="Times New Roman" w:hAnsi="Times New Roman"/>
        </w:rPr>
        <w:t xml:space="preserve"> e o </w:t>
      </w:r>
      <w:r w:rsidR="0053642B" w:rsidRPr="0053642B">
        <w:rPr>
          <w:rFonts w:ascii="Times New Roman" w:hAnsi="Times New Roman"/>
          <w:i/>
        </w:rPr>
        <w:t>tenor</w:t>
      </w:r>
      <w:r w:rsidR="0065706C">
        <w:rPr>
          <w:rFonts w:ascii="Times New Roman" w:hAnsi="Times New Roman"/>
        </w:rPr>
        <w:t>, quanto ao seu</w:t>
      </w:r>
      <w:r w:rsidR="0053642B">
        <w:rPr>
          <w:rFonts w:ascii="Times New Roman" w:hAnsi="Times New Roman"/>
        </w:rPr>
        <w:t xml:space="preserve"> grau de independência polifônica e sua natureza frente à notação musical e os processos de oralidade (muitas vezes refletidos na escrita).</w:t>
      </w:r>
      <w:r w:rsidR="002B05E3">
        <w:rPr>
          <w:rFonts w:ascii="Times New Roman" w:hAnsi="Times New Roman"/>
        </w:rPr>
        <w:t xml:space="preserve"> A busca por respostas a essas </w:t>
      </w:r>
      <w:r w:rsidR="00FE143D">
        <w:rPr>
          <w:rFonts w:ascii="Times New Roman" w:hAnsi="Times New Roman"/>
        </w:rPr>
        <w:t xml:space="preserve">questões </w:t>
      </w:r>
      <w:r w:rsidR="005E485D">
        <w:rPr>
          <w:rFonts w:ascii="Times New Roman" w:hAnsi="Times New Roman"/>
        </w:rPr>
        <w:t>conduz a</w:t>
      </w:r>
      <w:r w:rsidR="00FE143D">
        <w:rPr>
          <w:rFonts w:ascii="Times New Roman" w:hAnsi="Times New Roman"/>
        </w:rPr>
        <w:t xml:space="preserve"> indícios de formas particulares de </w:t>
      </w:r>
      <w:r w:rsidR="002B05E3">
        <w:rPr>
          <w:rFonts w:ascii="Times New Roman" w:hAnsi="Times New Roman"/>
        </w:rPr>
        <w:t>improvisação na música polifônica nos últimos séculos medievais.</w:t>
      </w:r>
      <w:r w:rsidR="00FE143D">
        <w:rPr>
          <w:rFonts w:ascii="Times New Roman" w:hAnsi="Times New Roman"/>
        </w:rPr>
        <w:t xml:space="preserve"> </w:t>
      </w:r>
      <w:r w:rsidR="0053642B">
        <w:rPr>
          <w:rFonts w:ascii="Times New Roman" w:hAnsi="Times New Roman"/>
        </w:rPr>
        <w:t xml:space="preserve"> </w:t>
      </w:r>
    </w:p>
    <w:p w:rsidR="00FE143D" w:rsidRDefault="00FE143D" w:rsidP="004F2998">
      <w:pPr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A partir da revisã</w:t>
      </w:r>
      <w:r w:rsidR="00E2481F">
        <w:rPr>
          <w:rFonts w:ascii="Times New Roman" w:hAnsi="Times New Roman"/>
        </w:rPr>
        <w:t xml:space="preserve">o da literatura e da análise musical de partituras de polifonia italiana e francesa dos séculos XIV e início do XV – repertório comumente denominado </w:t>
      </w:r>
      <w:proofErr w:type="spellStart"/>
      <w:r w:rsidR="00E2481F" w:rsidRPr="00E2481F">
        <w:rPr>
          <w:rFonts w:ascii="Times New Roman" w:hAnsi="Times New Roman"/>
          <w:i/>
        </w:rPr>
        <w:t>ars</w:t>
      </w:r>
      <w:proofErr w:type="spellEnd"/>
      <w:r w:rsidR="00E2481F" w:rsidRPr="00E2481F">
        <w:rPr>
          <w:rFonts w:ascii="Times New Roman" w:hAnsi="Times New Roman"/>
          <w:i/>
        </w:rPr>
        <w:t xml:space="preserve"> nova</w:t>
      </w:r>
      <w:r w:rsidR="00E2481F">
        <w:rPr>
          <w:rFonts w:ascii="Times New Roman" w:hAnsi="Times New Roman"/>
        </w:rPr>
        <w:t xml:space="preserve"> –, a p</w:t>
      </w:r>
      <w:r w:rsidR="00656F72">
        <w:rPr>
          <w:rFonts w:ascii="Times New Roman" w:hAnsi="Times New Roman"/>
        </w:rPr>
        <w:t xml:space="preserve">resente comunicação de pesquisa participa do debate em torno das questões enunciadas inicialmente.  </w:t>
      </w:r>
    </w:p>
    <w:p w:rsidR="00D91A50" w:rsidRDefault="005E485D" w:rsidP="004F2998">
      <w:pPr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Já à primeira vista foi</w:t>
      </w:r>
      <w:r w:rsidR="00197705">
        <w:rPr>
          <w:rFonts w:ascii="Times New Roman" w:hAnsi="Times New Roman"/>
        </w:rPr>
        <w:t xml:space="preserve"> possível conceber o </w:t>
      </w:r>
      <w:proofErr w:type="spellStart"/>
      <w:r w:rsidR="00197705" w:rsidRPr="00197705">
        <w:rPr>
          <w:rFonts w:ascii="Times New Roman" w:hAnsi="Times New Roman"/>
          <w:i/>
        </w:rPr>
        <w:t>contratenor</w:t>
      </w:r>
      <w:proofErr w:type="spellEnd"/>
      <w:r w:rsidR="00197705">
        <w:rPr>
          <w:rFonts w:ascii="Times New Roman" w:hAnsi="Times New Roman"/>
        </w:rPr>
        <w:t xml:space="preserve"> como uma parte </w:t>
      </w:r>
      <w:r w:rsidR="00197705" w:rsidRPr="00197705">
        <w:rPr>
          <w:rFonts w:ascii="Times New Roman" w:hAnsi="Times New Roman"/>
          <w:i/>
        </w:rPr>
        <w:t>ad libitum</w:t>
      </w:r>
      <w:r w:rsidR="00197705">
        <w:rPr>
          <w:rFonts w:ascii="Times New Roman" w:hAnsi="Times New Roman"/>
        </w:rPr>
        <w:t xml:space="preserve"> </w:t>
      </w:r>
      <w:r w:rsidR="00222181">
        <w:rPr>
          <w:rFonts w:ascii="Times New Roman" w:hAnsi="Times New Roman"/>
        </w:rPr>
        <w:t>po</w:t>
      </w:r>
      <w:r w:rsidR="00D756CE">
        <w:rPr>
          <w:rFonts w:ascii="Times New Roman" w:hAnsi="Times New Roman"/>
        </w:rPr>
        <w:t xml:space="preserve">rque </w:t>
      </w:r>
      <w:r w:rsidR="00D91A50">
        <w:rPr>
          <w:rFonts w:ascii="Times New Roman" w:hAnsi="Times New Roman"/>
        </w:rPr>
        <w:t>os manuscritos musicais de época</w:t>
      </w:r>
      <w:r w:rsidR="00222181">
        <w:rPr>
          <w:rFonts w:ascii="Times New Roman" w:hAnsi="Times New Roman"/>
        </w:rPr>
        <w:t xml:space="preserve"> oferecem um gra</w:t>
      </w:r>
      <w:r w:rsidR="00167DC4">
        <w:rPr>
          <w:rFonts w:ascii="Times New Roman" w:hAnsi="Times New Roman"/>
        </w:rPr>
        <w:t xml:space="preserve">nde número de versões </w:t>
      </w:r>
      <w:r w:rsidR="00222181">
        <w:rPr>
          <w:rFonts w:ascii="Times New Roman" w:hAnsi="Times New Roman"/>
        </w:rPr>
        <w:t>para as mesmas composições,</w:t>
      </w:r>
      <w:r w:rsidR="00167DC4">
        <w:rPr>
          <w:rFonts w:ascii="Times New Roman" w:hAnsi="Times New Roman"/>
        </w:rPr>
        <w:t xml:space="preserve"> apresentadas ora com</w:t>
      </w:r>
      <w:r w:rsidR="00222181">
        <w:rPr>
          <w:rFonts w:ascii="Times New Roman" w:hAnsi="Times New Roman"/>
        </w:rPr>
        <w:t xml:space="preserve"> </w:t>
      </w:r>
      <w:proofErr w:type="spellStart"/>
      <w:r w:rsidR="00222181" w:rsidRPr="00222181">
        <w:rPr>
          <w:rFonts w:ascii="Times New Roman" w:hAnsi="Times New Roman"/>
          <w:i/>
        </w:rPr>
        <w:t>cantus</w:t>
      </w:r>
      <w:proofErr w:type="spellEnd"/>
      <w:r w:rsidR="00222181">
        <w:rPr>
          <w:rFonts w:ascii="Times New Roman" w:hAnsi="Times New Roman"/>
        </w:rPr>
        <w:t xml:space="preserve"> e </w:t>
      </w:r>
      <w:r w:rsidR="00222181" w:rsidRPr="00222181">
        <w:rPr>
          <w:rFonts w:ascii="Times New Roman" w:hAnsi="Times New Roman"/>
          <w:i/>
        </w:rPr>
        <w:t>tenor</w:t>
      </w:r>
      <w:r w:rsidR="00222181">
        <w:rPr>
          <w:rFonts w:ascii="Times New Roman" w:hAnsi="Times New Roman"/>
        </w:rPr>
        <w:t xml:space="preserve"> ou então </w:t>
      </w:r>
      <w:proofErr w:type="spellStart"/>
      <w:r w:rsidR="00222181" w:rsidRPr="00222181">
        <w:rPr>
          <w:rFonts w:ascii="Times New Roman" w:hAnsi="Times New Roman"/>
          <w:i/>
        </w:rPr>
        <w:t>cantus</w:t>
      </w:r>
      <w:proofErr w:type="spellEnd"/>
      <w:r w:rsidR="00222181" w:rsidRPr="00222181">
        <w:rPr>
          <w:rFonts w:ascii="Times New Roman" w:hAnsi="Times New Roman"/>
        </w:rPr>
        <w:t>,</w:t>
      </w:r>
      <w:r w:rsidR="00222181">
        <w:rPr>
          <w:rFonts w:ascii="Times New Roman" w:hAnsi="Times New Roman"/>
        </w:rPr>
        <w:t xml:space="preserve"> </w:t>
      </w:r>
      <w:proofErr w:type="spellStart"/>
      <w:r w:rsidR="00222181" w:rsidRPr="00222181">
        <w:rPr>
          <w:rFonts w:ascii="Times New Roman" w:hAnsi="Times New Roman"/>
          <w:i/>
        </w:rPr>
        <w:t>contratenor</w:t>
      </w:r>
      <w:proofErr w:type="spellEnd"/>
      <w:r w:rsidR="00D756CE">
        <w:rPr>
          <w:rFonts w:ascii="Times New Roman" w:hAnsi="Times New Roman"/>
        </w:rPr>
        <w:t xml:space="preserve"> </w:t>
      </w:r>
      <w:r w:rsidR="00222181">
        <w:rPr>
          <w:rFonts w:ascii="Times New Roman" w:hAnsi="Times New Roman"/>
        </w:rPr>
        <w:t xml:space="preserve">e </w:t>
      </w:r>
      <w:r w:rsidR="00222181" w:rsidRPr="00222181">
        <w:rPr>
          <w:rFonts w:ascii="Times New Roman" w:hAnsi="Times New Roman"/>
          <w:i/>
        </w:rPr>
        <w:t>tenor</w:t>
      </w:r>
      <w:r w:rsidR="00D756CE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Outras duas situações reforçaram a concepção</w:t>
      </w:r>
      <w:r w:rsidR="00D91A50">
        <w:rPr>
          <w:rFonts w:ascii="Times New Roman" w:hAnsi="Times New Roman"/>
        </w:rPr>
        <w:t xml:space="preserve"> do</w:t>
      </w:r>
      <w:r w:rsidR="004F283A">
        <w:rPr>
          <w:rFonts w:ascii="Times New Roman" w:hAnsi="Times New Roman"/>
        </w:rPr>
        <w:t xml:space="preserve"> </w:t>
      </w:r>
      <w:proofErr w:type="spellStart"/>
      <w:r w:rsidR="004F283A" w:rsidRPr="004F283A">
        <w:rPr>
          <w:rFonts w:ascii="Times New Roman" w:hAnsi="Times New Roman"/>
          <w:i/>
        </w:rPr>
        <w:t>contratenor</w:t>
      </w:r>
      <w:proofErr w:type="spellEnd"/>
      <w:r w:rsidR="00D91A50">
        <w:rPr>
          <w:rFonts w:ascii="Times New Roman" w:hAnsi="Times New Roman"/>
        </w:rPr>
        <w:t xml:space="preserve"> </w:t>
      </w:r>
      <w:r w:rsidR="00D91A50" w:rsidRPr="00D91A50">
        <w:rPr>
          <w:rFonts w:ascii="Times New Roman" w:hAnsi="Times New Roman"/>
          <w:i/>
        </w:rPr>
        <w:t>ad libitum</w:t>
      </w:r>
      <w:r w:rsidR="00D91A50">
        <w:rPr>
          <w:rFonts w:ascii="Times New Roman" w:hAnsi="Times New Roman"/>
        </w:rPr>
        <w:t>: quando ele se apresenta como voz alternativa ao</w:t>
      </w:r>
      <w:r w:rsidR="004F283A">
        <w:rPr>
          <w:rFonts w:ascii="Times New Roman" w:hAnsi="Times New Roman"/>
        </w:rPr>
        <w:t xml:space="preserve"> </w:t>
      </w:r>
      <w:proofErr w:type="spellStart"/>
      <w:r w:rsidR="004F283A" w:rsidRPr="004F283A">
        <w:rPr>
          <w:rFonts w:ascii="Times New Roman" w:hAnsi="Times New Roman"/>
          <w:i/>
        </w:rPr>
        <w:t>triplum</w:t>
      </w:r>
      <w:proofErr w:type="spellEnd"/>
      <w:r w:rsidR="00D91A50">
        <w:rPr>
          <w:rFonts w:ascii="Times New Roman" w:hAnsi="Times New Roman"/>
        </w:rPr>
        <w:t xml:space="preserve"> em uma mesma composição ou ainda quando são encontrados</w:t>
      </w:r>
      <w:r w:rsidR="00D756CE">
        <w:rPr>
          <w:rFonts w:ascii="Times New Roman" w:hAnsi="Times New Roman"/>
        </w:rPr>
        <w:t xml:space="preserve"> </w:t>
      </w:r>
      <w:proofErr w:type="spellStart"/>
      <w:r w:rsidR="00D756CE" w:rsidRPr="004F283A">
        <w:rPr>
          <w:rFonts w:ascii="Times New Roman" w:hAnsi="Times New Roman"/>
          <w:i/>
        </w:rPr>
        <w:t>contratenores</w:t>
      </w:r>
      <w:proofErr w:type="spellEnd"/>
      <w:r w:rsidR="00D756CE">
        <w:rPr>
          <w:rFonts w:ascii="Times New Roman" w:hAnsi="Times New Roman"/>
        </w:rPr>
        <w:t xml:space="preserve"> de compositores </w:t>
      </w:r>
      <w:r w:rsidR="00167DC4">
        <w:rPr>
          <w:rFonts w:ascii="Times New Roman" w:hAnsi="Times New Roman"/>
        </w:rPr>
        <w:t>distintos com melodias completamente dif</w:t>
      </w:r>
      <w:r>
        <w:rPr>
          <w:rFonts w:ascii="Times New Roman" w:hAnsi="Times New Roman"/>
        </w:rPr>
        <w:t>erentes</w:t>
      </w:r>
      <w:r w:rsidR="00167DC4">
        <w:rPr>
          <w:rFonts w:ascii="Times New Roman" w:hAnsi="Times New Roman"/>
        </w:rPr>
        <w:t xml:space="preserve"> p</w:t>
      </w:r>
      <w:r w:rsidR="00D756CE">
        <w:rPr>
          <w:rFonts w:ascii="Times New Roman" w:hAnsi="Times New Roman"/>
        </w:rPr>
        <w:t>ara uma mesma peça musical</w:t>
      </w:r>
      <w:r w:rsidR="00C664AC">
        <w:rPr>
          <w:rFonts w:ascii="Times New Roman" w:hAnsi="Times New Roman"/>
        </w:rPr>
        <w:t>. Quanto ao seu lugar no contexto polifônico</w:t>
      </w:r>
      <w:r w:rsidR="00167DC4">
        <w:rPr>
          <w:rFonts w:ascii="Times New Roman" w:hAnsi="Times New Roman"/>
        </w:rPr>
        <w:t>,</w:t>
      </w:r>
      <w:r w:rsidR="00C664AC">
        <w:rPr>
          <w:rFonts w:ascii="Times New Roman" w:hAnsi="Times New Roman"/>
        </w:rPr>
        <w:t xml:space="preserve"> </w:t>
      </w:r>
      <w:r w:rsidR="00440F5E">
        <w:rPr>
          <w:rFonts w:ascii="Times New Roman" w:hAnsi="Times New Roman"/>
        </w:rPr>
        <w:t xml:space="preserve">MEMELSDORFF </w:t>
      </w:r>
      <w:r w:rsidR="004F283A">
        <w:rPr>
          <w:rFonts w:ascii="Times New Roman" w:hAnsi="Times New Roman"/>
        </w:rPr>
        <w:t>(1998) defende a pertinência</w:t>
      </w:r>
      <w:r w:rsidR="00167DC4">
        <w:rPr>
          <w:rFonts w:ascii="Times New Roman" w:hAnsi="Times New Roman"/>
        </w:rPr>
        <w:t xml:space="preserve"> musical de </w:t>
      </w:r>
      <w:proofErr w:type="spellStart"/>
      <w:r w:rsidR="004F283A">
        <w:rPr>
          <w:rFonts w:ascii="Times New Roman" w:hAnsi="Times New Roman"/>
        </w:rPr>
        <w:t>m</w:t>
      </w:r>
      <w:r w:rsidR="00167DC4">
        <w:rPr>
          <w:rFonts w:ascii="Times New Roman" w:hAnsi="Times New Roman"/>
        </w:rPr>
        <w:t>otetos</w:t>
      </w:r>
      <w:proofErr w:type="spellEnd"/>
      <w:r w:rsidR="00167DC4">
        <w:rPr>
          <w:rFonts w:ascii="Times New Roman" w:hAnsi="Times New Roman"/>
        </w:rPr>
        <w:t xml:space="preserve"> do início do século XV cujos</w:t>
      </w:r>
      <w:r w:rsidR="004F283A">
        <w:rPr>
          <w:rFonts w:ascii="Times New Roman" w:hAnsi="Times New Roman"/>
        </w:rPr>
        <w:t xml:space="preserve"> </w:t>
      </w:r>
      <w:proofErr w:type="spellStart"/>
      <w:r w:rsidR="004F283A" w:rsidRPr="004F283A">
        <w:rPr>
          <w:rFonts w:ascii="Times New Roman" w:hAnsi="Times New Roman"/>
          <w:i/>
        </w:rPr>
        <w:t>contratenores</w:t>
      </w:r>
      <w:proofErr w:type="spellEnd"/>
      <w:r w:rsidR="004F283A">
        <w:rPr>
          <w:rFonts w:ascii="Times New Roman" w:hAnsi="Times New Roman"/>
        </w:rPr>
        <w:t xml:space="preserve"> </w:t>
      </w:r>
      <w:r w:rsidR="00167DC4">
        <w:rPr>
          <w:rFonts w:ascii="Times New Roman" w:hAnsi="Times New Roman"/>
        </w:rPr>
        <w:t xml:space="preserve">geram </w:t>
      </w:r>
      <w:r w:rsidR="004F283A">
        <w:rPr>
          <w:rFonts w:ascii="Times New Roman" w:hAnsi="Times New Roman"/>
        </w:rPr>
        <w:t>aparentes incongruências</w:t>
      </w:r>
      <w:r w:rsidR="00C664AC">
        <w:rPr>
          <w:rFonts w:ascii="Times New Roman" w:hAnsi="Times New Roman"/>
        </w:rPr>
        <w:t xml:space="preserve"> e </w:t>
      </w:r>
      <w:r w:rsidR="00440F5E">
        <w:rPr>
          <w:rFonts w:ascii="Times New Roman" w:hAnsi="Times New Roman"/>
        </w:rPr>
        <w:t xml:space="preserve">ROTTER-BROMAN (2016) </w:t>
      </w:r>
      <w:r w:rsidR="00C664AC">
        <w:rPr>
          <w:rFonts w:ascii="Times New Roman" w:hAnsi="Times New Roman"/>
        </w:rPr>
        <w:t>demonstra</w:t>
      </w:r>
      <w:r>
        <w:rPr>
          <w:rFonts w:ascii="Times New Roman" w:hAnsi="Times New Roman"/>
        </w:rPr>
        <w:t>,</w:t>
      </w:r>
      <w:r w:rsidR="00C664AC">
        <w:rPr>
          <w:rFonts w:ascii="Times New Roman" w:hAnsi="Times New Roman"/>
        </w:rPr>
        <w:t xml:space="preserve"> </w:t>
      </w:r>
      <w:r w:rsidR="00167DC4">
        <w:rPr>
          <w:rFonts w:ascii="Times New Roman" w:hAnsi="Times New Roman"/>
        </w:rPr>
        <w:t>atra</w:t>
      </w:r>
      <w:r w:rsidR="00CE5878">
        <w:rPr>
          <w:rFonts w:ascii="Times New Roman" w:hAnsi="Times New Roman"/>
        </w:rPr>
        <w:t>vés da análise de passagens de repertórios</w:t>
      </w:r>
      <w:r>
        <w:rPr>
          <w:rFonts w:ascii="Times New Roman" w:hAnsi="Times New Roman"/>
        </w:rPr>
        <w:t>,</w:t>
      </w:r>
      <w:r w:rsidR="00C664AC">
        <w:rPr>
          <w:rFonts w:ascii="Times New Roman" w:hAnsi="Times New Roman"/>
        </w:rPr>
        <w:t xml:space="preserve"> a incumbência</w:t>
      </w:r>
      <w:r w:rsidR="00CE5878">
        <w:rPr>
          <w:rFonts w:ascii="Times New Roman" w:hAnsi="Times New Roman"/>
        </w:rPr>
        <w:t xml:space="preserve"> do </w:t>
      </w:r>
      <w:proofErr w:type="spellStart"/>
      <w:r w:rsidR="00CE5878" w:rsidRPr="00CE5878">
        <w:rPr>
          <w:rFonts w:ascii="Times New Roman" w:hAnsi="Times New Roman"/>
          <w:i/>
        </w:rPr>
        <w:t>contratenor</w:t>
      </w:r>
      <w:proofErr w:type="spellEnd"/>
      <w:r w:rsidR="00CE5878">
        <w:rPr>
          <w:rFonts w:ascii="Times New Roman" w:hAnsi="Times New Roman"/>
        </w:rPr>
        <w:t xml:space="preserve"> de “frustrar”</w:t>
      </w:r>
      <w:r w:rsidR="00C664AC">
        <w:rPr>
          <w:rFonts w:ascii="Times New Roman" w:hAnsi="Times New Roman"/>
        </w:rPr>
        <w:t xml:space="preserve"> inúmeras cadências</w:t>
      </w:r>
      <w:r w:rsidR="00167DC4">
        <w:rPr>
          <w:rFonts w:ascii="Times New Roman" w:hAnsi="Times New Roman"/>
        </w:rPr>
        <w:t xml:space="preserve"> musicais</w:t>
      </w:r>
      <w:r w:rsidR="004F283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167DC4">
        <w:rPr>
          <w:rFonts w:ascii="Times New Roman" w:hAnsi="Times New Roman"/>
        </w:rPr>
        <w:t xml:space="preserve">Mais do que qualquer outra parte, o </w:t>
      </w:r>
      <w:proofErr w:type="spellStart"/>
      <w:r w:rsidR="00167DC4" w:rsidRPr="005E485D">
        <w:rPr>
          <w:rFonts w:ascii="Times New Roman" w:hAnsi="Times New Roman"/>
          <w:i/>
        </w:rPr>
        <w:t>contratenor</w:t>
      </w:r>
      <w:proofErr w:type="spellEnd"/>
      <w:r w:rsidR="00167DC4">
        <w:rPr>
          <w:rFonts w:ascii="Times New Roman" w:hAnsi="Times New Roman"/>
        </w:rPr>
        <w:t xml:space="preserve"> é frequentemente notado sem tex</w:t>
      </w:r>
      <w:r w:rsidR="008E7112">
        <w:rPr>
          <w:rFonts w:ascii="Times New Roman" w:hAnsi="Times New Roman"/>
        </w:rPr>
        <w:t>to, mesmo que as outras vozes o</w:t>
      </w:r>
      <w:r w:rsidR="00167DC4">
        <w:rPr>
          <w:rFonts w:ascii="Times New Roman" w:hAnsi="Times New Roman"/>
        </w:rPr>
        <w:t xml:space="preserve"> apresentem</w:t>
      </w:r>
      <w:r w:rsidR="00D91A5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Selecionamos </w:t>
      </w:r>
      <w:r w:rsidR="00DF2FB8">
        <w:rPr>
          <w:rFonts w:ascii="Times New Roman" w:hAnsi="Times New Roman"/>
        </w:rPr>
        <w:t>para esta comunicação</w:t>
      </w:r>
      <w:r>
        <w:rPr>
          <w:rFonts w:ascii="Times New Roman" w:hAnsi="Times New Roman"/>
        </w:rPr>
        <w:t xml:space="preserve"> passagens </w:t>
      </w:r>
      <w:r w:rsidR="00D75F60">
        <w:rPr>
          <w:rFonts w:ascii="Times New Roman" w:hAnsi="Times New Roman"/>
        </w:rPr>
        <w:t>similares do</w:t>
      </w:r>
      <w:r>
        <w:rPr>
          <w:rFonts w:ascii="Times New Roman" w:hAnsi="Times New Roman"/>
        </w:rPr>
        <w:t xml:space="preserve"> repertório </w:t>
      </w:r>
      <w:r w:rsidR="00D75F60">
        <w:rPr>
          <w:rFonts w:ascii="Times New Roman" w:hAnsi="Times New Roman"/>
        </w:rPr>
        <w:t xml:space="preserve">da </w:t>
      </w:r>
      <w:proofErr w:type="spellStart"/>
      <w:r w:rsidR="00D75F60">
        <w:rPr>
          <w:rFonts w:ascii="Times New Roman" w:hAnsi="Times New Roman"/>
          <w:i/>
        </w:rPr>
        <w:t>a</w:t>
      </w:r>
      <w:r w:rsidR="00D75F60" w:rsidRPr="00D75F60">
        <w:rPr>
          <w:rFonts w:ascii="Times New Roman" w:hAnsi="Times New Roman"/>
          <w:i/>
        </w:rPr>
        <w:t>rs</w:t>
      </w:r>
      <w:proofErr w:type="spellEnd"/>
      <w:r w:rsidR="00D75F60" w:rsidRPr="00D75F60">
        <w:rPr>
          <w:rFonts w:ascii="Times New Roman" w:hAnsi="Times New Roman"/>
          <w:i/>
        </w:rPr>
        <w:t xml:space="preserve"> nova</w:t>
      </w:r>
      <w:r w:rsidR="00D75F6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analisadas à luz do</w:t>
      </w:r>
      <w:r w:rsidR="00440F5E">
        <w:rPr>
          <w:rFonts w:ascii="Times New Roman" w:hAnsi="Times New Roman"/>
        </w:rPr>
        <w:t xml:space="preserve">s artigos </w:t>
      </w:r>
      <w:r w:rsidR="00440F5E">
        <w:rPr>
          <w:rFonts w:ascii="Times New Roman" w:hAnsi="Times New Roman"/>
        </w:rPr>
        <w:lastRenderedPageBreak/>
        <w:t xml:space="preserve">citados a fim de demonstrar que </w:t>
      </w:r>
      <w:r w:rsidR="00ED72D3">
        <w:rPr>
          <w:rFonts w:ascii="Times New Roman" w:hAnsi="Times New Roman"/>
        </w:rPr>
        <w:t>esta parte da polifonia é capaz o</w:t>
      </w:r>
      <w:r w:rsidR="00DF2FB8">
        <w:rPr>
          <w:rFonts w:ascii="Times New Roman" w:hAnsi="Times New Roman"/>
        </w:rPr>
        <w:t>mitir</w:t>
      </w:r>
      <w:r w:rsidR="00ED72D3">
        <w:rPr>
          <w:rFonts w:ascii="Times New Roman" w:hAnsi="Times New Roman"/>
        </w:rPr>
        <w:t xml:space="preserve"> ou atrasar a articulação</w:t>
      </w:r>
      <w:r w:rsidR="00DF2FB8">
        <w:rPr>
          <w:rFonts w:ascii="Times New Roman" w:hAnsi="Times New Roman"/>
        </w:rPr>
        <w:t xml:space="preserve"> de notas em</w:t>
      </w:r>
      <w:r w:rsidR="00ED72D3">
        <w:rPr>
          <w:rFonts w:ascii="Times New Roman" w:hAnsi="Times New Roman"/>
        </w:rPr>
        <w:t xml:space="preserve"> cadências através de pausas, </w:t>
      </w:r>
      <w:r w:rsidR="00DF2FB8">
        <w:rPr>
          <w:rFonts w:ascii="Times New Roman" w:hAnsi="Times New Roman"/>
        </w:rPr>
        <w:t>síncopes (palavra já em uso no século XV)</w:t>
      </w:r>
      <w:r w:rsidR="00654485">
        <w:rPr>
          <w:rFonts w:ascii="Times New Roman" w:hAnsi="Times New Roman"/>
        </w:rPr>
        <w:t xml:space="preserve">, além de </w:t>
      </w:r>
      <w:r w:rsidR="00ED72D3">
        <w:rPr>
          <w:rFonts w:ascii="Times New Roman" w:hAnsi="Times New Roman"/>
        </w:rPr>
        <w:t xml:space="preserve">propor consonâncias imperfeitas e dissonâncias – intervalos concomitantes definidos segundo o sistema musical vigente – </w:t>
      </w:r>
      <w:r w:rsidR="00DF2FB8">
        <w:rPr>
          <w:rFonts w:ascii="Times New Roman" w:hAnsi="Times New Roman"/>
        </w:rPr>
        <w:t xml:space="preserve">em início ou fim de frases, </w:t>
      </w:r>
      <w:r w:rsidR="00ED72D3">
        <w:rPr>
          <w:rFonts w:ascii="Times New Roman" w:hAnsi="Times New Roman"/>
        </w:rPr>
        <w:t xml:space="preserve">via apojatura escrita ou </w:t>
      </w:r>
      <w:proofErr w:type="gramStart"/>
      <w:r w:rsidR="00ED72D3">
        <w:rPr>
          <w:rFonts w:ascii="Times New Roman" w:hAnsi="Times New Roman"/>
        </w:rPr>
        <w:t>retardo,</w:t>
      </w:r>
      <w:proofErr w:type="gramEnd"/>
      <w:r w:rsidR="00ED72D3">
        <w:rPr>
          <w:rFonts w:ascii="Times New Roman" w:hAnsi="Times New Roman"/>
        </w:rPr>
        <w:t xml:space="preserve"> antes de </w:t>
      </w:r>
      <w:r w:rsidR="00DF2FB8">
        <w:rPr>
          <w:rFonts w:ascii="Times New Roman" w:hAnsi="Times New Roman"/>
        </w:rPr>
        <w:t xml:space="preserve">se </w:t>
      </w:r>
      <w:r w:rsidR="00ED72D3">
        <w:rPr>
          <w:rFonts w:ascii="Times New Roman" w:hAnsi="Times New Roman"/>
        </w:rPr>
        <w:t>produzir</w:t>
      </w:r>
      <w:r w:rsidR="00D75F60">
        <w:rPr>
          <w:rFonts w:ascii="Times New Roman" w:hAnsi="Times New Roman"/>
        </w:rPr>
        <w:t xml:space="preserve">em </w:t>
      </w:r>
      <w:r w:rsidR="00ED72D3">
        <w:rPr>
          <w:rFonts w:ascii="Times New Roman" w:hAnsi="Times New Roman"/>
        </w:rPr>
        <w:t>cadência</w:t>
      </w:r>
      <w:r w:rsidR="00D75F60">
        <w:rPr>
          <w:rFonts w:ascii="Times New Roman" w:hAnsi="Times New Roman"/>
        </w:rPr>
        <w:t>s</w:t>
      </w:r>
      <w:r w:rsidR="00ED72D3">
        <w:rPr>
          <w:rFonts w:ascii="Times New Roman" w:hAnsi="Times New Roman"/>
        </w:rPr>
        <w:t xml:space="preserve"> perfeita</w:t>
      </w:r>
      <w:r w:rsidR="00D75F60">
        <w:rPr>
          <w:rFonts w:ascii="Times New Roman" w:hAnsi="Times New Roman"/>
        </w:rPr>
        <w:t>s</w:t>
      </w:r>
      <w:r w:rsidR="00ED72D3">
        <w:rPr>
          <w:rFonts w:ascii="Times New Roman" w:hAnsi="Times New Roman"/>
        </w:rPr>
        <w:t>.</w:t>
      </w:r>
      <w:r w:rsidR="00DF2FB8">
        <w:rPr>
          <w:rFonts w:ascii="Times New Roman" w:hAnsi="Times New Roman"/>
        </w:rPr>
        <w:t xml:space="preserve"> A escrita musical do </w:t>
      </w:r>
      <w:proofErr w:type="spellStart"/>
      <w:r w:rsidR="00DF2FB8" w:rsidRPr="00654485">
        <w:rPr>
          <w:rFonts w:ascii="Times New Roman" w:hAnsi="Times New Roman"/>
          <w:i/>
        </w:rPr>
        <w:t>contratenor</w:t>
      </w:r>
      <w:proofErr w:type="spellEnd"/>
      <w:r w:rsidR="00DF2FB8">
        <w:rPr>
          <w:rFonts w:ascii="Times New Roman" w:hAnsi="Times New Roman"/>
        </w:rPr>
        <w:t xml:space="preserve"> </w:t>
      </w:r>
      <w:r w:rsidR="00654485">
        <w:rPr>
          <w:rFonts w:ascii="Times New Roman" w:hAnsi="Times New Roman"/>
        </w:rPr>
        <w:t>propõe,</w:t>
      </w:r>
      <w:r w:rsidR="00DF2FB8">
        <w:rPr>
          <w:rFonts w:ascii="Times New Roman" w:hAnsi="Times New Roman"/>
        </w:rPr>
        <w:t xml:space="preserve"> com frequência</w:t>
      </w:r>
      <w:r w:rsidR="00654485">
        <w:rPr>
          <w:rFonts w:ascii="Times New Roman" w:hAnsi="Times New Roman"/>
        </w:rPr>
        <w:t>, deslocamentos de acentuação relativos ao</w:t>
      </w:r>
      <w:r w:rsidR="00276123">
        <w:rPr>
          <w:rFonts w:ascii="Times New Roman" w:hAnsi="Times New Roman"/>
        </w:rPr>
        <w:t xml:space="preserve"> tempo e subdivisão do tempo (esta última </w:t>
      </w:r>
      <w:r w:rsidR="00654485">
        <w:rPr>
          <w:rFonts w:ascii="Times New Roman" w:hAnsi="Times New Roman"/>
        </w:rPr>
        <w:t>denominada</w:t>
      </w:r>
      <w:r w:rsidR="00276123">
        <w:rPr>
          <w:rFonts w:ascii="Times New Roman" w:hAnsi="Times New Roman"/>
        </w:rPr>
        <w:t xml:space="preserve"> </w:t>
      </w:r>
      <w:r w:rsidR="00654485">
        <w:rPr>
          <w:rFonts w:ascii="Times New Roman" w:hAnsi="Times New Roman"/>
        </w:rPr>
        <w:t xml:space="preserve">na época </w:t>
      </w:r>
      <w:r w:rsidR="00276123" w:rsidRPr="008E7112">
        <w:rPr>
          <w:rFonts w:ascii="Times New Roman" w:hAnsi="Times New Roman"/>
          <w:i/>
        </w:rPr>
        <w:t>prolação</w:t>
      </w:r>
      <w:r w:rsidR="00276123">
        <w:rPr>
          <w:rFonts w:ascii="Times New Roman" w:hAnsi="Times New Roman"/>
        </w:rPr>
        <w:t>), resultando em perfis melódicos destacados e independentes no contexto polifônico a três vozes.</w:t>
      </w:r>
    </w:p>
    <w:p w:rsidR="00656F72" w:rsidRPr="005E485D" w:rsidRDefault="00522FC6" w:rsidP="004F2998">
      <w:pPr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Revelou-se </w:t>
      </w:r>
      <w:bookmarkStart w:id="0" w:name="_GoBack"/>
      <w:bookmarkEnd w:id="0"/>
      <w:r w:rsidR="005E485D" w:rsidRPr="005E485D">
        <w:rPr>
          <w:rFonts w:ascii="Times New Roman" w:hAnsi="Times New Roman"/>
          <w:szCs w:val="24"/>
        </w:rPr>
        <w:t>a necessidade de se voltar o olhar para um panorama amplo e diversificado</w:t>
      </w:r>
      <w:r w:rsidR="008E7112">
        <w:rPr>
          <w:rFonts w:ascii="Times New Roman" w:hAnsi="Times New Roman"/>
          <w:szCs w:val="24"/>
        </w:rPr>
        <w:t>,</w:t>
      </w:r>
      <w:r w:rsidR="005E485D" w:rsidRPr="005E485D">
        <w:rPr>
          <w:rFonts w:ascii="Times New Roman" w:hAnsi="Times New Roman"/>
          <w:szCs w:val="24"/>
        </w:rPr>
        <w:t xml:space="preserve"> próprio das práticas polifônicas do final da Idade Média e início do Renascimento: algumas expressões correntes no século XV orientam o pesquisador a refletir sobre práticas de polifonia oral e formas de improvisação de cantos e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contratenores</w:t>
      </w:r>
      <w:proofErr w:type="spellEnd"/>
      <w:r w:rsidR="005E485D" w:rsidRPr="005E485D">
        <w:rPr>
          <w:rFonts w:ascii="Times New Roman" w:hAnsi="Times New Roman"/>
          <w:szCs w:val="24"/>
        </w:rPr>
        <w:t xml:space="preserve"> sobre </w:t>
      </w:r>
      <w:r w:rsidR="005E485D" w:rsidRPr="005E485D">
        <w:rPr>
          <w:rFonts w:ascii="Times New Roman" w:hAnsi="Times New Roman"/>
          <w:i/>
          <w:szCs w:val="24"/>
        </w:rPr>
        <w:t>tenores</w:t>
      </w:r>
      <w:r w:rsidR="005E485D" w:rsidRPr="005E485D">
        <w:rPr>
          <w:rFonts w:ascii="Times New Roman" w:hAnsi="Times New Roman"/>
          <w:szCs w:val="24"/>
        </w:rPr>
        <w:t xml:space="preserve"> dados. São elas: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contrapunto</w:t>
      </w:r>
      <w:proofErr w:type="spellEnd"/>
      <w:r w:rsidR="005E485D" w:rsidRPr="005E485D">
        <w:rPr>
          <w:rFonts w:ascii="Times New Roman" w:hAnsi="Times New Roman"/>
          <w:i/>
          <w:szCs w:val="24"/>
        </w:rPr>
        <w:t xml:space="preserve">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extempore</w:t>
      </w:r>
      <w:proofErr w:type="spellEnd"/>
      <w:r w:rsidR="005E485D" w:rsidRPr="005E485D">
        <w:rPr>
          <w:rFonts w:ascii="Times New Roman" w:hAnsi="Times New Roman"/>
          <w:i/>
          <w:szCs w:val="24"/>
        </w:rPr>
        <w:t xml:space="preserve"> (</w:t>
      </w:r>
      <w:r w:rsidR="005E485D" w:rsidRPr="005E485D">
        <w:rPr>
          <w:rFonts w:ascii="Times New Roman" w:hAnsi="Times New Roman"/>
          <w:szCs w:val="24"/>
        </w:rPr>
        <w:t>contraponto extemporâneo)</w:t>
      </w:r>
      <w:r w:rsidR="00654485">
        <w:rPr>
          <w:rFonts w:ascii="Times New Roman" w:hAnsi="Times New Roman"/>
          <w:szCs w:val="24"/>
        </w:rPr>
        <w:t xml:space="preserve">, </w:t>
      </w:r>
      <w:r w:rsidR="00654485" w:rsidRPr="00654485">
        <w:rPr>
          <w:rFonts w:ascii="Times New Roman" w:hAnsi="Times New Roman"/>
          <w:i/>
          <w:szCs w:val="24"/>
        </w:rPr>
        <w:t>cantar por uso</w:t>
      </w:r>
      <w:r w:rsidR="00654485">
        <w:rPr>
          <w:rFonts w:ascii="Times New Roman" w:hAnsi="Times New Roman"/>
          <w:i/>
          <w:szCs w:val="24"/>
        </w:rPr>
        <w:t xml:space="preserve"> </w:t>
      </w:r>
      <w:r w:rsidR="00654485" w:rsidRPr="00654485">
        <w:rPr>
          <w:rFonts w:ascii="Times New Roman" w:hAnsi="Times New Roman"/>
          <w:szCs w:val="24"/>
        </w:rPr>
        <w:t>(cantar de cor)</w:t>
      </w:r>
      <w:r w:rsidR="005E485D" w:rsidRPr="005E485D">
        <w:rPr>
          <w:rFonts w:ascii="Times New Roman" w:hAnsi="Times New Roman"/>
          <w:szCs w:val="24"/>
        </w:rPr>
        <w:t xml:space="preserve"> (</w:t>
      </w:r>
      <w:r w:rsidR="00440F5E" w:rsidRPr="005E485D">
        <w:rPr>
          <w:rFonts w:ascii="Times New Roman" w:hAnsi="Times New Roman"/>
          <w:szCs w:val="24"/>
        </w:rPr>
        <w:t>FIORENTINO</w:t>
      </w:r>
      <w:r w:rsidR="005E485D" w:rsidRPr="005E485D">
        <w:rPr>
          <w:rFonts w:ascii="Times New Roman" w:hAnsi="Times New Roman"/>
          <w:szCs w:val="24"/>
        </w:rPr>
        <w:t>,</w:t>
      </w:r>
      <w:r w:rsidR="00440F5E">
        <w:rPr>
          <w:rFonts w:ascii="Times New Roman" w:hAnsi="Times New Roman"/>
          <w:szCs w:val="24"/>
        </w:rPr>
        <w:t xml:space="preserve"> 2015</w:t>
      </w:r>
      <w:r w:rsidR="005E485D" w:rsidRPr="005E485D">
        <w:rPr>
          <w:rFonts w:ascii="Times New Roman" w:hAnsi="Times New Roman"/>
          <w:szCs w:val="24"/>
        </w:rPr>
        <w:t xml:space="preserve">),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cantare</w:t>
      </w:r>
      <w:proofErr w:type="spellEnd"/>
      <w:r w:rsidR="005E485D" w:rsidRPr="005E485D">
        <w:rPr>
          <w:rFonts w:ascii="Times New Roman" w:hAnsi="Times New Roman"/>
          <w:i/>
          <w:szCs w:val="24"/>
        </w:rPr>
        <w:t xml:space="preserve">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super</w:t>
      </w:r>
      <w:proofErr w:type="spellEnd"/>
      <w:r w:rsidR="005E485D" w:rsidRPr="005E485D">
        <w:rPr>
          <w:rFonts w:ascii="Times New Roman" w:hAnsi="Times New Roman"/>
          <w:i/>
          <w:szCs w:val="24"/>
        </w:rPr>
        <w:t xml:space="preserve"> </w:t>
      </w:r>
      <w:proofErr w:type="spellStart"/>
      <w:r w:rsidR="005E485D" w:rsidRPr="005E485D">
        <w:rPr>
          <w:rFonts w:ascii="Times New Roman" w:hAnsi="Times New Roman"/>
          <w:i/>
          <w:szCs w:val="24"/>
        </w:rPr>
        <w:t>librum</w:t>
      </w:r>
      <w:proofErr w:type="spellEnd"/>
      <w:r w:rsidR="005E485D" w:rsidRPr="005E485D">
        <w:rPr>
          <w:rFonts w:ascii="Times New Roman" w:hAnsi="Times New Roman"/>
          <w:szCs w:val="24"/>
        </w:rPr>
        <w:t xml:space="preserve"> (cantar a partir do livro) e c</w:t>
      </w:r>
      <w:r w:rsidR="005E485D" w:rsidRPr="005E485D">
        <w:rPr>
          <w:rFonts w:ascii="Times New Roman" w:hAnsi="Times New Roman"/>
          <w:i/>
          <w:szCs w:val="24"/>
        </w:rPr>
        <w:t xml:space="preserve">ontraponto a </w:t>
      </w:r>
      <w:proofErr w:type="spellStart"/>
      <w:proofErr w:type="gramStart"/>
      <w:r w:rsidR="005E485D" w:rsidRPr="005E485D">
        <w:rPr>
          <w:rFonts w:ascii="Times New Roman" w:hAnsi="Times New Roman"/>
          <w:i/>
          <w:szCs w:val="24"/>
        </w:rPr>
        <w:t>la</w:t>
      </w:r>
      <w:proofErr w:type="spellEnd"/>
      <w:proofErr w:type="gramEnd"/>
      <w:r w:rsidR="005E485D" w:rsidRPr="005E485D">
        <w:rPr>
          <w:rFonts w:ascii="Times New Roman" w:hAnsi="Times New Roman"/>
          <w:i/>
          <w:szCs w:val="24"/>
        </w:rPr>
        <w:t xml:space="preserve"> mente</w:t>
      </w:r>
      <w:r w:rsidR="005E485D" w:rsidRPr="005E485D">
        <w:rPr>
          <w:rFonts w:ascii="Times New Roman" w:hAnsi="Times New Roman"/>
          <w:szCs w:val="24"/>
        </w:rPr>
        <w:t xml:space="preserve"> (contraponto de cabeça) (</w:t>
      </w:r>
      <w:r w:rsidR="00440F5E" w:rsidRPr="005E485D">
        <w:rPr>
          <w:rFonts w:ascii="Times New Roman" w:hAnsi="Times New Roman"/>
          <w:szCs w:val="24"/>
        </w:rPr>
        <w:t>JANIN</w:t>
      </w:r>
      <w:r w:rsidR="005E485D">
        <w:rPr>
          <w:rFonts w:ascii="Times New Roman" w:hAnsi="Times New Roman"/>
          <w:szCs w:val="24"/>
        </w:rPr>
        <w:t>, 2014</w:t>
      </w:r>
      <w:r w:rsidR="005E485D" w:rsidRPr="005E485D">
        <w:rPr>
          <w:rFonts w:ascii="Times New Roman" w:hAnsi="Times New Roman"/>
          <w:szCs w:val="24"/>
        </w:rPr>
        <w:t>). Quanto à polifonia instrumental</w:t>
      </w:r>
      <w:r w:rsidR="00654485">
        <w:rPr>
          <w:rFonts w:ascii="Times New Roman" w:hAnsi="Times New Roman"/>
          <w:szCs w:val="24"/>
        </w:rPr>
        <w:t>,</w:t>
      </w:r>
      <w:r w:rsidR="005E485D" w:rsidRPr="005E485D">
        <w:rPr>
          <w:rFonts w:ascii="Times New Roman" w:hAnsi="Times New Roman"/>
          <w:szCs w:val="24"/>
        </w:rPr>
        <w:t xml:space="preserve"> </w:t>
      </w:r>
      <w:r w:rsidR="00440F5E" w:rsidRPr="005E485D">
        <w:rPr>
          <w:rFonts w:ascii="Times New Roman" w:hAnsi="Times New Roman"/>
          <w:szCs w:val="24"/>
        </w:rPr>
        <w:t>LOCKWOOD</w:t>
      </w:r>
      <w:r w:rsidR="00440F5E">
        <w:rPr>
          <w:rFonts w:ascii="Times New Roman" w:hAnsi="Times New Roman"/>
          <w:szCs w:val="24"/>
        </w:rPr>
        <w:t xml:space="preserve"> (2010)</w:t>
      </w:r>
      <w:r w:rsidR="005E485D" w:rsidRPr="005E485D">
        <w:rPr>
          <w:rFonts w:ascii="Times New Roman" w:hAnsi="Times New Roman"/>
          <w:szCs w:val="24"/>
        </w:rPr>
        <w:t xml:space="preserve"> considera que os músicos de corte conheciam tenores de danças, sobre os quais podiam tecer texturas de contrapontos adequados, ideia reforçada por uma fonte excepcional: os tenores transcritos no diário de </w:t>
      </w:r>
      <w:proofErr w:type="spellStart"/>
      <w:r w:rsidR="005E485D" w:rsidRPr="005E485D">
        <w:rPr>
          <w:rFonts w:ascii="Times New Roman" w:hAnsi="Times New Roman"/>
          <w:szCs w:val="24"/>
        </w:rPr>
        <w:t>Zorzi</w:t>
      </w:r>
      <w:proofErr w:type="spellEnd"/>
      <w:r w:rsidR="005E485D" w:rsidRPr="005E485D">
        <w:rPr>
          <w:rFonts w:ascii="Times New Roman" w:hAnsi="Times New Roman"/>
          <w:szCs w:val="24"/>
        </w:rPr>
        <w:t xml:space="preserve"> </w:t>
      </w:r>
      <w:proofErr w:type="spellStart"/>
      <w:r w:rsidR="005E485D" w:rsidRPr="005E485D">
        <w:rPr>
          <w:rFonts w:ascii="Times New Roman" w:hAnsi="Times New Roman"/>
          <w:szCs w:val="24"/>
        </w:rPr>
        <w:t>Trombetta</w:t>
      </w:r>
      <w:proofErr w:type="spellEnd"/>
      <w:r w:rsidR="005E485D" w:rsidRPr="005E485D">
        <w:rPr>
          <w:rFonts w:ascii="Times New Roman" w:hAnsi="Times New Roman"/>
          <w:szCs w:val="24"/>
        </w:rPr>
        <w:t>, trompetista italiano do século XV que dirigiu conjuntos profissionais de música polifônica para metais e palhetas. Os</w:t>
      </w:r>
      <w:r w:rsidR="008E7112">
        <w:rPr>
          <w:rFonts w:ascii="Times New Roman" w:hAnsi="Times New Roman"/>
          <w:szCs w:val="24"/>
        </w:rPr>
        <w:t xml:space="preserve"> </w:t>
      </w:r>
      <w:r w:rsidR="008E7112" w:rsidRPr="00BA7865">
        <w:rPr>
          <w:rFonts w:ascii="Times New Roman" w:hAnsi="Times New Roman"/>
          <w:szCs w:val="24"/>
        </w:rPr>
        <w:t>tenores</w:t>
      </w:r>
      <w:r w:rsidR="008E7112">
        <w:rPr>
          <w:rFonts w:ascii="Times New Roman" w:hAnsi="Times New Roman"/>
          <w:szCs w:val="24"/>
        </w:rPr>
        <w:t xml:space="preserve"> anotados por </w:t>
      </w:r>
      <w:proofErr w:type="spellStart"/>
      <w:r w:rsidR="008E7112">
        <w:rPr>
          <w:rFonts w:ascii="Times New Roman" w:hAnsi="Times New Roman"/>
          <w:szCs w:val="24"/>
        </w:rPr>
        <w:t>Zorzi</w:t>
      </w:r>
      <w:proofErr w:type="spellEnd"/>
      <w:r w:rsidR="005E485D" w:rsidRPr="005E485D">
        <w:rPr>
          <w:rFonts w:ascii="Times New Roman" w:hAnsi="Times New Roman"/>
          <w:szCs w:val="24"/>
        </w:rPr>
        <w:t xml:space="preserve"> </w:t>
      </w:r>
      <w:r w:rsidR="008E7112">
        <w:rPr>
          <w:rFonts w:ascii="Times New Roman" w:hAnsi="Times New Roman"/>
          <w:szCs w:val="24"/>
        </w:rPr>
        <w:t>foram extraídos</w:t>
      </w:r>
      <w:r w:rsidR="005E485D" w:rsidRPr="005E485D">
        <w:rPr>
          <w:rFonts w:ascii="Times New Roman" w:hAnsi="Times New Roman"/>
          <w:szCs w:val="24"/>
        </w:rPr>
        <w:t xml:space="preserve"> de composições polifônicas e, na visão de </w:t>
      </w:r>
      <w:r w:rsidR="00440F5E" w:rsidRPr="005E485D">
        <w:rPr>
          <w:rFonts w:ascii="Times New Roman" w:hAnsi="Times New Roman"/>
          <w:szCs w:val="24"/>
        </w:rPr>
        <w:t>BARONCINI</w:t>
      </w:r>
      <w:r w:rsidR="00440F5E">
        <w:rPr>
          <w:rFonts w:ascii="Times New Roman" w:hAnsi="Times New Roman"/>
          <w:szCs w:val="24"/>
        </w:rPr>
        <w:t xml:space="preserve"> (2002)</w:t>
      </w:r>
      <w:r w:rsidR="005E485D" w:rsidRPr="005E485D">
        <w:rPr>
          <w:rFonts w:ascii="Times New Roman" w:hAnsi="Times New Roman"/>
          <w:szCs w:val="24"/>
        </w:rPr>
        <w:t xml:space="preserve">, podiam servir de base </w:t>
      </w:r>
      <w:r w:rsidR="008E7112">
        <w:rPr>
          <w:rFonts w:ascii="Times New Roman" w:hAnsi="Times New Roman"/>
          <w:szCs w:val="24"/>
        </w:rPr>
        <w:t>para</w:t>
      </w:r>
      <w:r w:rsidR="005E485D" w:rsidRPr="005E485D">
        <w:rPr>
          <w:rFonts w:ascii="Times New Roman" w:hAnsi="Times New Roman"/>
          <w:szCs w:val="24"/>
        </w:rPr>
        <w:t xml:space="preserve"> improvisação a duas ou três vozes, na intercessão da música escrita e oral. </w:t>
      </w:r>
      <w:r w:rsidR="005E485D" w:rsidRPr="005E485D">
        <w:t xml:space="preserve"> </w:t>
      </w:r>
    </w:p>
    <w:p w:rsidR="00FE143D" w:rsidRPr="005E485D" w:rsidRDefault="00FE143D" w:rsidP="004F2998">
      <w:pPr>
        <w:spacing w:line="240" w:lineRule="auto"/>
        <w:ind w:firstLine="708"/>
        <w:rPr>
          <w:rFonts w:ascii="Times New Roman" w:hAnsi="Times New Roman"/>
        </w:rPr>
      </w:pPr>
    </w:p>
    <w:p w:rsidR="00FE143D" w:rsidRDefault="00FE143D" w:rsidP="004F2998">
      <w:pPr>
        <w:spacing w:line="240" w:lineRule="auto"/>
        <w:ind w:firstLine="708"/>
        <w:rPr>
          <w:rFonts w:ascii="Times New Roman" w:hAnsi="Times New Roman"/>
        </w:rPr>
      </w:pPr>
    </w:p>
    <w:p w:rsidR="001203B4" w:rsidRDefault="001203B4"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E143D" w:rsidRDefault="001203B4" w:rsidP="001203B4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REFERÊNCIAS BIBLIOGRÁFICAS</w:t>
      </w:r>
    </w:p>
    <w:p w:rsidR="005E485D" w:rsidRDefault="005E485D" w:rsidP="004F2998">
      <w:pPr>
        <w:spacing w:line="240" w:lineRule="auto"/>
        <w:ind w:firstLine="708"/>
        <w:rPr>
          <w:rFonts w:ascii="Times New Roman" w:hAnsi="Times New Roman"/>
        </w:rPr>
      </w:pPr>
    </w:p>
    <w:p w:rsidR="005E485D" w:rsidRDefault="005E485D" w:rsidP="001203B4">
      <w:pPr>
        <w:pStyle w:val="NormalWeb"/>
        <w:spacing w:before="0" w:beforeAutospacing="0" w:after="0" w:afterAutospacing="0"/>
        <w:ind w:left="284" w:hanging="284"/>
      </w:pPr>
      <w:r w:rsidRPr="00281641">
        <w:t>BARONCINI, Rodolfo. “</w:t>
      </w:r>
      <w:proofErr w:type="spellStart"/>
      <w:r w:rsidRPr="00281641">
        <w:t>Zorzi</w:t>
      </w:r>
      <w:proofErr w:type="spellEnd"/>
      <w:r w:rsidRPr="00281641">
        <w:t xml:space="preserve"> </w:t>
      </w:r>
      <w:proofErr w:type="spellStart"/>
      <w:r w:rsidRPr="00281641">
        <w:t>Trombetta</w:t>
      </w:r>
      <w:proofErr w:type="spellEnd"/>
      <w:r w:rsidRPr="00281641">
        <w:t xml:space="preserve"> </w:t>
      </w:r>
      <w:proofErr w:type="spellStart"/>
      <w:r w:rsidRPr="00281641">
        <w:t>and</w:t>
      </w:r>
      <w:proofErr w:type="spellEnd"/>
      <w:r w:rsidRPr="00281641">
        <w:t xml:space="preserve"> </w:t>
      </w:r>
      <w:proofErr w:type="spellStart"/>
      <w:r w:rsidRPr="00281641">
        <w:t>the</w:t>
      </w:r>
      <w:proofErr w:type="spellEnd"/>
      <w:r w:rsidRPr="00281641">
        <w:t xml:space="preserve"> Band </w:t>
      </w:r>
      <w:proofErr w:type="spellStart"/>
      <w:r w:rsidRPr="00281641">
        <w:t>of</w:t>
      </w:r>
      <w:proofErr w:type="spellEnd"/>
      <w:r w:rsidRPr="00281641">
        <w:t xml:space="preserve"> ‘</w:t>
      </w:r>
      <w:proofErr w:type="spellStart"/>
      <w:r w:rsidRPr="00281641">
        <w:t>Piffari</w:t>
      </w:r>
      <w:proofErr w:type="spellEnd"/>
      <w:r w:rsidRPr="00281641">
        <w:t xml:space="preserve">’ </w:t>
      </w:r>
      <w:proofErr w:type="spellStart"/>
      <w:r w:rsidRPr="00281641">
        <w:t>and</w:t>
      </w:r>
      <w:proofErr w:type="spellEnd"/>
      <w:r w:rsidRPr="00281641">
        <w:t xml:space="preserve"> Trombones </w:t>
      </w:r>
      <w:proofErr w:type="spellStart"/>
      <w:r w:rsidRPr="00281641">
        <w:t>of</w:t>
      </w:r>
      <w:proofErr w:type="spellEnd"/>
      <w:r w:rsidRPr="00281641">
        <w:t xml:space="preserve"> </w:t>
      </w:r>
      <w:proofErr w:type="spellStart"/>
      <w:r w:rsidRPr="00281641">
        <w:t>the</w:t>
      </w:r>
      <w:proofErr w:type="spellEnd"/>
      <w:r w:rsidRPr="00281641">
        <w:t xml:space="preserve"> ‘</w:t>
      </w:r>
      <w:proofErr w:type="spellStart"/>
      <w:proofErr w:type="gramStart"/>
      <w:r w:rsidRPr="00281641">
        <w:t>Serenissima</w:t>
      </w:r>
      <w:proofErr w:type="spellEnd"/>
      <w:r w:rsidRPr="00281641">
        <w:t>,</w:t>
      </w:r>
      <w:proofErr w:type="gramEnd"/>
      <w:r w:rsidRPr="00281641">
        <w:t xml:space="preserve">’: New </w:t>
      </w:r>
      <w:proofErr w:type="spellStart"/>
      <w:r w:rsidRPr="00281641">
        <w:t>Documentary</w:t>
      </w:r>
      <w:proofErr w:type="spellEnd"/>
      <w:r w:rsidRPr="00281641">
        <w:t xml:space="preserve"> </w:t>
      </w:r>
      <w:proofErr w:type="spellStart"/>
      <w:r w:rsidRPr="00281641">
        <w:t>Evidence</w:t>
      </w:r>
      <w:proofErr w:type="spellEnd"/>
      <w:r w:rsidRPr="00281641">
        <w:t xml:space="preserve">.” </w:t>
      </w:r>
      <w:proofErr w:type="spellStart"/>
      <w:r w:rsidRPr="00281641">
        <w:t>Historic</w:t>
      </w:r>
      <w:proofErr w:type="spellEnd"/>
      <w:r w:rsidRPr="00281641">
        <w:t xml:space="preserve"> </w:t>
      </w:r>
      <w:proofErr w:type="spellStart"/>
      <w:r w:rsidRPr="00281641">
        <w:t>Brass</w:t>
      </w:r>
      <w:proofErr w:type="spellEnd"/>
      <w:r w:rsidRPr="00281641">
        <w:t xml:space="preserve"> </w:t>
      </w:r>
      <w:proofErr w:type="spellStart"/>
      <w:r w:rsidRPr="00281641">
        <w:t>Society</w:t>
      </w:r>
      <w:proofErr w:type="spellEnd"/>
      <w:r w:rsidRPr="00281641">
        <w:t xml:space="preserve"> </w:t>
      </w:r>
      <w:proofErr w:type="spellStart"/>
      <w:r w:rsidRPr="00281641">
        <w:t>Journal</w:t>
      </w:r>
      <w:proofErr w:type="spellEnd"/>
      <w:r w:rsidRPr="00281641">
        <w:t xml:space="preserve"> 14 (2002), p</w:t>
      </w:r>
      <w:r>
        <w:t>p</w:t>
      </w:r>
      <w:r w:rsidRPr="00281641">
        <w:t>.59-82.</w:t>
      </w:r>
    </w:p>
    <w:p w:rsidR="001203B4" w:rsidRDefault="001203B4" w:rsidP="005E485D">
      <w:pPr>
        <w:pStyle w:val="Ttulo4"/>
        <w:spacing w:before="0" w:line="0" w:lineRule="atLeast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</w:rPr>
      </w:pPr>
    </w:p>
    <w:p w:rsidR="005E485D" w:rsidRPr="005E485D" w:rsidRDefault="005E485D" w:rsidP="001203B4">
      <w:pPr>
        <w:pStyle w:val="Ttulo4"/>
        <w:spacing w:before="0" w:line="0" w:lineRule="atLeast"/>
        <w:ind w:left="284" w:hanging="284"/>
        <w:rPr>
          <w:rFonts w:ascii="Times New Roman" w:hAnsi="Times New Roman" w:cs="Times New Roman"/>
          <w:b w:val="0"/>
          <w:bCs w:val="0"/>
          <w:i w:val="0"/>
          <w:color w:val="000000" w:themeColor="text1"/>
        </w:rPr>
      </w:pPr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FIORENTINO, Giuseppe. “‘Cantar por uso’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and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‘cantar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fabordón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’: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the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‘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unlearned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’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tradition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of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oral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polyphony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in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Renaissance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Spain (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and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beyond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)”.</w:t>
      </w:r>
      <w:r w:rsidRPr="005E48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</w:t>
      </w:r>
      <w:proofErr w:type="spellStart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Early</w:t>
      </w:r>
      <w:proofErr w:type="spellEnd"/>
      <w:r w:rsidRPr="005E485D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Music 43/1 (2015), pp. 23-35. </w:t>
      </w:r>
    </w:p>
    <w:p w:rsidR="005E485D" w:rsidRDefault="005E485D" w:rsidP="004F2998">
      <w:pPr>
        <w:spacing w:line="240" w:lineRule="auto"/>
        <w:ind w:firstLine="708"/>
        <w:rPr>
          <w:rFonts w:ascii="Times New Roman" w:hAnsi="Times New Roman"/>
        </w:rPr>
      </w:pPr>
    </w:p>
    <w:p w:rsidR="005E485D" w:rsidRDefault="005E485D" w:rsidP="001203B4">
      <w:pPr>
        <w:spacing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JANIN, Barnabé. </w:t>
      </w:r>
      <w:proofErr w:type="spellStart"/>
      <w:r w:rsidRPr="005E485D">
        <w:rPr>
          <w:rFonts w:ascii="Times New Roman" w:hAnsi="Times New Roman"/>
          <w:i/>
        </w:rPr>
        <w:t>Chanter</w:t>
      </w:r>
      <w:proofErr w:type="spellEnd"/>
      <w:r w:rsidRPr="005E485D">
        <w:rPr>
          <w:rFonts w:ascii="Times New Roman" w:hAnsi="Times New Roman"/>
          <w:i/>
        </w:rPr>
        <w:t xml:space="preserve"> </w:t>
      </w:r>
      <w:proofErr w:type="spellStart"/>
      <w:r w:rsidRPr="005E485D">
        <w:rPr>
          <w:rFonts w:ascii="Times New Roman" w:hAnsi="Times New Roman"/>
          <w:i/>
        </w:rPr>
        <w:t>sur</w:t>
      </w:r>
      <w:proofErr w:type="spellEnd"/>
      <w:r w:rsidRPr="005E485D">
        <w:rPr>
          <w:rFonts w:ascii="Times New Roman" w:hAnsi="Times New Roman"/>
          <w:i/>
        </w:rPr>
        <w:t xml:space="preserve"> </w:t>
      </w:r>
      <w:proofErr w:type="spellStart"/>
      <w:proofErr w:type="gramStart"/>
      <w:r w:rsidRPr="005E485D">
        <w:rPr>
          <w:rFonts w:ascii="Times New Roman" w:hAnsi="Times New Roman"/>
          <w:i/>
        </w:rPr>
        <w:t>le</w:t>
      </w:r>
      <w:proofErr w:type="spellEnd"/>
      <w:proofErr w:type="gramEnd"/>
      <w:r w:rsidRPr="005E485D">
        <w:rPr>
          <w:rFonts w:ascii="Times New Roman" w:hAnsi="Times New Roman"/>
          <w:i/>
        </w:rPr>
        <w:t xml:space="preserve"> Livre: Manuel pratique d’</w:t>
      </w:r>
      <w:proofErr w:type="spellStart"/>
      <w:r w:rsidRPr="005E485D">
        <w:rPr>
          <w:rFonts w:ascii="Times New Roman" w:hAnsi="Times New Roman"/>
          <w:i/>
        </w:rPr>
        <w:t>improvisation</w:t>
      </w:r>
      <w:proofErr w:type="spellEnd"/>
      <w:r w:rsidRPr="005E485D">
        <w:rPr>
          <w:rFonts w:ascii="Times New Roman" w:hAnsi="Times New Roman"/>
          <w:i/>
        </w:rPr>
        <w:t xml:space="preserve"> </w:t>
      </w:r>
      <w:proofErr w:type="spellStart"/>
      <w:r w:rsidRPr="005E485D">
        <w:rPr>
          <w:rFonts w:ascii="Times New Roman" w:hAnsi="Times New Roman"/>
          <w:i/>
        </w:rPr>
        <w:t>polyphonique</w:t>
      </w:r>
      <w:proofErr w:type="spellEnd"/>
      <w:r w:rsidRPr="005E485D">
        <w:rPr>
          <w:rFonts w:ascii="Times New Roman" w:hAnsi="Times New Roman"/>
          <w:i/>
        </w:rPr>
        <w:t xml:space="preserve"> de </w:t>
      </w:r>
      <w:proofErr w:type="spellStart"/>
      <w:r w:rsidRPr="005E485D">
        <w:rPr>
          <w:rFonts w:ascii="Times New Roman" w:hAnsi="Times New Roman"/>
          <w:i/>
        </w:rPr>
        <w:t>la</w:t>
      </w:r>
      <w:proofErr w:type="spellEnd"/>
      <w:r w:rsidRPr="005E485D">
        <w:rPr>
          <w:rFonts w:ascii="Times New Roman" w:hAnsi="Times New Roman"/>
          <w:i/>
        </w:rPr>
        <w:t xml:space="preserve"> </w:t>
      </w:r>
      <w:proofErr w:type="spellStart"/>
      <w:r w:rsidRPr="005E485D">
        <w:rPr>
          <w:rFonts w:ascii="Times New Roman" w:hAnsi="Times New Roman"/>
          <w:i/>
        </w:rPr>
        <w:t>Renaissance</w:t>
      </w:r>
      <w:proofErr w:type="spellEnd"/>
      <w:r w:rsidRPr="005E485D">
        <w:rPr>
          <w:rFonts w:ascii="Times New Roman" w:hAnsi="Times New Roman"/>
          <w:i/>
        </w:rPr>
        <w:t xml:space="preserve"> (</w:t>
      </w:r>
      <w:proofErr w:type="spellStart"/>
      <w:r w:rsidRPr="005E485D">
        <w:rPr>
          <w:rFonts w:ascii="Times New Roman" w:hAnsi="Times New Roman"/>
          <w:i/>
        </w:rPr>
        <w:t>XV</w:t>
      </w:r>
      <w:r w:rsidRPr="005E485D">
        <w:rPr>
          <w:rFonts w:ascii="Times New Roman" w:hAnsi="Times New Roman"/>
          <w:i/>
          <w:vertAlign w:val="superscript"/>
        </w:rPr>
        <w:t>e</w:t>
      </w:r>
      <w:proofErr w:type="spellEnd"/>
      <w:r w:rsidRPr="005E485D">
        <w:rPr>
          <w:rFonts w:ascii="Times New Roman" w:hAnsi="Times New Roman"/>
          <w:i/>
        </w:rPr>
        <w:t xml:space="preserve"> et </w:t>
      </w:r>
      <w:proofErr w:type="spellStart"/>
      <w:r w:rsidRPr="005E485D">
        <w:rPr>
          <w:rFonts w:ascii="Times New Roman" w:hAnsi="Times New Roman"/>
          <w:i/>
        </w:rPr>
        <w:t>XVI</w:t>
      </w:r>
      <w:r w:rsidRPr="005E485D">
        <w:rPr>
          <w:rFonts w:ascii="Times New Roman" w:hAnsi="Times New Roman"/>
          <w:i/>
          <w:vertAlign w:val="superscript"/>
        </w:rPr>
        <w:t>e</w:t>
      </w:r>
      <w:proofErr w:type="spellEnd"/>
      <w:r w:rsidRPr="005E485D">
        <w:rPr>
          <w:rFonts w:ascii="Times New Roman" w:hAnsi="Times New Roman"/>
          <w:i/>
        </w:rPr>
        <w:t xml:space="preserve"> </w:t>
      </w:r>
      <w:proofErr w:type="spellStart"/>
      <w:r w:rsidRPr="005E485D">
        <w:rPr>
          <w:rFonts w:ascii="Times New Roman" w:hAnsi="Times New Roman"/>
          <w:i/>
        </w:rPr>
        <w:t>siècles</w:t>
      </w:r>
      <w:proofErr w:type="spellEnd"/>
      <w:r w:rsidRPr="005E485D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>.</w:t>
      </w:r>
      <w:r w:rsidRPr="00440F5E">
        <w:rPr>
          <w:rFonts w:ascii="Times New Roman" w:hAnsi="Times New Roman"/>
        </w:rPr>
        <w:t xml:space="preserve"> </w:t>
      </w:r>
      <w:proofErr w:type="spellStart"/>
      <w:r w:rsidR="00440F5E" w:rsidRPr="00440F5E">
        <w:rPr>
          <w:rFonts w:ascii="Times New Roman" w:hAnsi="Times New Roman"/>
        </w:rPr>
        <w:t>Symétrie</w:t>
      </w:r>
      <w:proofErr w:type="spellEnd"/>
      <w:r w:rsidR="00440F5E" w:rsidRPr="00440F5E">
        <w:rPr>
          <w:rFonts w:ascii="Times New Roman" w:hAnsi="Times New Roman"/>
        </w:rPr>
        <w:t>, 2014, 2</w:t>
      </w:r>
      <w:r w:rsidR="00440F5E" w:rsidRPr="00440F5E">
        <w:rPr>
          <w:rFonts w:ascii="Times New Roman" w:hAnsi="Times New Roman"/>
          <w:vertAlign w:val="superscript"/>
        </w:rPr>
        <w:t>a</w:t>
      </w:r>
      <w:r w:rsidR="00440F5E" w:rsidRPr="00440F5E">
        <w:rPr>
          <w:rFonts w:ascii="Times New Roman" w:hAnsi="Times New Roman"/>
        </w:rPr>
        <w:t xml:space="preserve"> ed.</w:t>
      </w:r>
      <w:r w:rsidR="00440F5E">
        <w:rPr>
          <w:rFonts w:ascii="Times New Roman" w:hAnsi="Times New Roman"/>
          <w:i/>
        </w:rPr>
        <w:t xml:space="preserve"> </w:t>
      </w:r>
    </w:p>
    <w:p w:rsidR="005E485D" w:rsidRDefault="005E485D" w:rsidP="005E485D">
      <w:pPr>
        <w:pStyle w:val="Default"/>
      </w:pPr>
      <w:r>
        <w:t xml:space="preserve"> </w:t>
      </w:r>
    </w:p>
    <w:p w:rsidR="001203B4" w:rsidRPr="0052326D" w:rsidRDefault="001203B4" w:rsidP="001203B4">
      <w:p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Cs w:val="24"/>
        </w:rPr>
      </w:pPr>
      <w:r w:rsidRPr="001203B4">
        <w:rPr>
          <w:rFonts w:ascii="Times New Roman" w:hAnsi="Times New Roman"/>
          <w:color w:val="000000" w:themeColor="text1"/>
          <w:szCs w:val="24"/>
        </w:rPr>
        <w:t>LOCKWOOD</w:t>
      </w:r>
      <w:r w:rsidRPr="0052326D">
        <w:rPr>
          <w:rFonts w:ascii="Times New Roman" w:hAnsi="Times New Roman"/>
          <w:szCs w:val="24"/>
        </w:rPr>
        <w:t xml:space="preserve">, Lewis. </w:t>
      </w:r>
      <w:r w:rsidRPr="0052326D">
        <w:rPr>
          <w:rFonts w:ascii="Times New Roman" w:hAnsi="Times New Roman"/>
          <w:i/>
          <w:szCs w:val="24"/>
        </w:rPr>
        <w:t xml:space="preserve">Music in </w:t>
      </w:r>
      <w:proofErr w:type="spellStart"/>
      <w:r w:rsidRPr="0052326D">
        <w:rPr>
          <w:rFonts w:ascii="Times New Roman" w:hAnsi="Times New Roman"/>
          <w:i/>
          <w:szCs w:val="24"/>
        </w:rPr>
        <w:t>Renaissance</w:t>
      </w:r>
      <w:proofErr w:type="spellEnd"/>
      <w:r w:rsidRPr="0052326D">
        <w:rPr>
          <w:rFonts w:ascii="Times New Roman" w:hAnsi="Times New Roman"/>
          <w:i/>
          <w:szCs w:val="24"/>
        </w:rPr>
        <w:t xml:space="preserve"> Ferra</w:t>
      </w:r>
      <w:r>
        <w:rPr>
          <w:rFonts w:ascii="Times New Roman" w:hAnsi="Times New Roman"/>
          <w:i/>
          <w:szCs w:val="24"/>
        </w:rPr>
        <w:t xml:space="preserve">ra 1400-1505: The </w:t>
      </w:r>
      <w:proofErr w:type="spellStart"/>
      <w:r>
        <w:rPr>
          <w:rFonts w:ascii="Times New Roman" w:hAnsi="Times New Roman"/>
          <w:i/>
          <w:szCs w:val="24"/>
        </w:rPr>
        <w:t>Creation</w:t>
      </w:r>
      <w:proofErr w:type="spellEnd"/>
      <w:r>
        <w:rPr>
          <w:rFonts w:ascii="Times New Roman" w:hAnsi="Times New Roman"/>
          <w:i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Cs w:val="24"/>
        </w:rPr>
        <w:t>of</w:t>
      </w:r>
      <w:proofErr w:type="spellEnd"/>
      <w:r>
        <w:rPr>
          <w:rFonts w:ascii="Times New Roman" w:hAnsi="Times New Roman"/>
          <w:i/>
          <w:szCs w:val="24"/>
        </w:rPr>
        <w:t xml:space="preserve"> </w:t>
      </w:r>
      <w:r w:rsidRPr="0052326D">
        <w:rPr>
          <w:rFonts w:ascii="Times New Roman" w:hAnsi="Times New Roman"/>
          <w:i/>
          <w:szCs w:val="24"/>
        </w:rPr>
        <w:t xml:space="preserve">Musical Center in </w:t>
      </w:r>
      <w:proofErr w:type="spellStart"/>
      <w:r w:rsidRPr="0052326D">
        <w:rPr>
          <w:rFonts w:ascii="Times New Roman" w:hAnsi="Times New Roman"/>
          <w:i/>
          <w:szCs w:val="24"/>
        </w:rPr>
        <w:t>the</w:t>
      </w:r>
      <w:proofErr w:type="spellEnd"/>
      <w:r w:rsidRPr="0052326D">
        <w:rPr>
          <w:rFonts w:ascii="Times New Roman" w:hAnsi="Times New Roman"/>
          <w:i/>
          <w:szCs w:val="24"/>
        </w:rPr>
        <w:t xml:space="preserve"> </w:t>
      </w:r>
      <w:proofErr w:type="spellStart"/>
      <w:r w:rsidRPr="0052326D">
        <w:rPr>
          <w:rFonts w:ascii="Times New Roman" w:hAnsi="Times New Roman"/>
          <w:i/>
          <w:szCs w:val="24"/>
        </w:rPr>
        <w:t>Fifteenth</w:t>
      </w:r>
      <w:proofErr w:type="spellEnd"/>
      <w:r w:rsidRPr="0052326D">
        <w:rPr>
          <w:rFonts w:ascii="Times New Roman" w:hAnsi="Times New Roman"/>
          <w:i/>
          <w:szCs w:val="24"/>
        </w:rPr>
        <w:t xml:space="preserve"> </w:t>
      </w:r>
      <w:proofErr w:type="spellStart"/>
      <w:r w:rsidRPr="0052326D">
        <w:rPr>
          <w:rFonts w:ascii="Times New Roman" w:hAnsi="Times New Roman"/>
          <w:i/>
          <w:szCs w:val="24"/>
        </w:rPr>
        <w:t>Century</w:t>
      </w:r>
      <w:proofErr w:type="spellEnd"/>
      <w:r w:rsidRPr="0052326D">
        <w:rPr>
          <w:rFonts w:ascii="Times New Roman" w:hAnsi="Times New Roman"/>
          <w:szCs w:val="24"/>
        </w:rPr>
        <w:t xml:space="preserve">. Oxford </w:t>
      </w:r>
      <w:proofErr w:type="spellStart"/>
      <w:r w:rsidRPr="0052326D">
        <w:rPr>
          <w:rFonts w:ascii="Times New Roman" w:hAnsi="Times New Roman"/>
          <w:szCs w:val="24"/>
        </w:rPr>
        <w:t>University</w:t>
      </w:r>
      <w:proofErr w:type="spellEnd"/>
      <w:r w:rsidRPr="0052326D">
        <w:rPr>
          <w:rFonts w:ascii="Times New Roman" w:hAnsi="Times New Roman"/>
          <w:szCs w:val="24"/>
        </w:rPr>
        <w:t xml:space="preserve"> Press, 2010. </w:t>
      </w:r>
    </w:p>
    <w:p w:rsidR="001203B4" w:rsidRDefault="001203B4" w:rsidP="005E485D">
      <w:pPr>
        <w:pStyle w:val="Default"/>
        <w:rPr>
          <w:rFonts w:ascii="Times New Roman" w:hAnsi="Times New Roman" w:cs="Times New Roman"/>
        </w:rPr>
      </w:pPr>
    </w:p>
    <w:p w:rsidR="005E485D" w:rsidRPr="005E485D" w:rsidRDefault="005E485D" w:rsidP="001203B4">
      <w:pPr>
        <w:pStyle w:val="Default"/>
        <w:ind w:left="284" w:hanging="284"/>
        <w:rPr>
          <w:rFonts w:ascii="Times New Roman" w:hAnsi="Times New Roman" w:cs="Times New Roman"/>
        </w:rPr>
      </w:pPr>
      <w:r w:rsidRPr="005E485D">
        <w:rPr>
          <w:rFonts w:ascii="Times New Roman" w:hAnsi="Times New Roman" w:cs="Times New Roman"/>
        </w:rPr>
        <w:t>MEMELSDORFF, Pedro. “</w:t>
      </w:r>
      <w:proofErr w:type="spellStart"/>
      <w:r w:rsidRPr="005E485D">
        <w:rPr>
          <w:rFonts w:ascii="Times New Roman" w:hAnsi="Times New Roman" w:cs="Times New Roman"/>
        </w:rPr>
        <w:t>Motti</w:t>
      </w:r>
      <w:proofErr w:type="spellEnd"/>
      <w:r w:rsidRPr="005E485D">
        <w:rPr>
          <w:rFonts w:ascii="Times New Roman" w:hAnsi="Times New Roman" w:cs="Times New Roman"/>
        </w:rPr>
        <w:t xml:space="preserve"> a </w:t>
      </w:r>
      <w:proofErr w:type="spellStart"/>
      <w:r w:rsidRPr="005E485D">
        <w:rPr>
          <w:rFonts w:ascii="Times New Roman" w:hAnsi="Times New Roman" w:cs="Times New Roman"/>
        </w:rPr>
        <w:t>motti</w:t>
      </w:r>
      <w:proofErr w:type="spellEnd"/>
      <w:r w:rsidRPr="005E485D">
        <w:rPr>
          <w:rFonts w:ascii="Times New Roman" w:hAnsi="Times New Roman" w:cs="Times New Roman"/>
        </w:rPr>
        <w:t xml:space="preserve">: </w:t>
      </w:r>
      <w:proofErr w:type="spellStart"/>
      <w:r w:rsidRPr="005E485D">
        <w:rPr>
          <w:rFonts w:ascii="Times New Roman" w:hAnsi="Times New Roman" w:cs="Times New Roman"/>
        </w:rPr>
        <w:t>reflections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on</w:t>
      </w:r>
      <w:proofErr w:type="spellEnd"/>
      <w:r w:rsidRPr="005E485D">
        <w:rPr>
          <w:rFonts w:ascii="Times New Roman" w:hAnsi="Times New Roman" w:cs="Times New Roman"/>
        </w:rPr>
        <w:t xml:space="preserve"> a </w:t>
      </w:r>
      <w:proofErr w:type="spellStart"/>
      <w:r w:rsidRPr="005E485D">
        <w:rPr>
          <w:rFonts w:ascii="Times New Roman" w:hAnsi="Times New Roman" w:cs="Times New Roman"/>
        </w:rPr>
        <w:t>motet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intabulation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of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the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early</w:t>
      </w:r>
      <w:proofErr w:type="spellEnd"/>
      <w:r w:rsidRPr="005E485D">
        <w:rPr>
          <w:rFonts w:ascii="Times New Roman" w:hAnsi="Times New Roman" w:cs="Times New Roman"/>
        </w:rPr>
        <w:t xml:space="preserve"> </w:t>
      </w:r>
      <w:proofErr w:type="spellStart"/>
      <w:r w:rsidRPr="005E485D">
        <w:rPr>
          <w:rFonts w:ascii="Times New Roman" w:hAnsi="Times New Roman" w:cs="Times New Roman"/>
        </w:rPr>
        <w:t>Quattrocento</w:t>
      </w:r>
      <w:proofErr w:type="spellEnd"/>
      <w:r w:rsidRPr="005E485D">
        <w:rPr>
          <w:rFonts w:ascii="Times New Roman" w:hAnsi="Times New Roman" w:cs="Times New Roman"/>
        </w:rPr>
        <w:t xml:space="preserve">”.  </w:t>
      </w:r>
      <w:proofErr w:type="spellStart"/>
      <w:r w:rsidRPr="005E485D">
        <w:rPr>
          <w:rFonts w:ascii="Times New Roman" w:hAnsi="Times New Roman" w:cs="Times New Roman"/>
        </w:rPr>
        <w:t>Recercare</w:t>
      </w:r>
      <w:proofErr w:type="spellEnd"/>
      <w:r w:rsidRPr="005E485D">
        <w:rPr>
          <w:rFonts w:ascii="Times New Roman" w:hAnsi="Times New Roman" w:cs="Times New Roman"/>
        </w:rPr>
        <w:t xml:space="preserve">, Vol. 10 (1998), pp. 39-68. Disponível em: </w:t>
      </w:r>
    </w:p>
    <w:p w:rsidR="005E485D" w:rsidRDefault="00971A16" w:rsidP="001203B4">
      <w:pPr>
        <w:pStyle w:val="Default"/>
        <w:ind w:left="284"/>
        <w:rPr>
          <w:rFonts w:ascii="Times New Roman" w:hAnsi="Times New Roman" w:cs="Times New Roman"/>
        </w:rPr>
      </w:pPr>
      <w:hyperlink r:id="rId11" w:history="1">
        <w:r w:rsidR="005E485D" w:rsidRPr="005E485D">
          <w:rPr>
            <w:rStyle w:val="Hyperlink"/>
            <w:rFonts w:ascii="Times New Roman" w:hAnsi="Times New Roman" w:cs="Times New Roman"/>
          </w:rPr>
          <w:t>http://www.jstor.org/stable/41692739</w:t>
        </w:r>
      </w:hyperlink>
      <w:r w:rsidR="005E485D" w:rsidRPr="005E485D">
        <w:rPr>
          <w:rFonts w:ascii="Times New Roman" w:hAnsi="Times New Roman" w:cs="Times New Roman"/>
        </w:rPr>
        <w:t xml:space="preserve"> (acesso em 22/08/2017). </w:t>
      </w:r>
    </w:p>
    <w:p w:rsidR="005E485D" w:rsidRDefault="005E485D" w:rsidP="005E485D">
      <w:pPr>
        <w:pStyle w:val="Default"/>
        <w:rPr>
          <w:rFonts w:ascii="Times New Roman" w:hAnsi="Times New Roman" w:cs="Times New Roman"/>
        </w:rPr>
      </w:pPr>
    </w:p>
    <w:p w:rsidR="005E485D" w:rsidRDefault="005E485D" w:rsidP="001203B4">
      <w:pPr>
        <w:pStyle w:val="Default"/>
        <w:ind w:left="284" w:hanging="284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ROTTER-BROMAN,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Signe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. “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Contratenor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parts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in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polyphonic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songs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from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the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late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Trecento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(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Italy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</w:t>
      </w:r>
      <w:proofErr w:type="spellStart"/>
      <w:proofErr w:type="gram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ca</w:t>
      </w:r>
      <w:proofErr w:type="spellEnd"/>
      <w:proofErr w:type="gram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1400):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Challenges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for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concepts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of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polyphony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and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>improvisation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”. </w:t>
      </w:r>
      <w:proofErr w:type="spellStart"/>
      <w:r w:rsidRPr="005E485D">
        <w:rPr>
          <w:rFonts w:ascii="Times New Roman" w:hAnsi="Times New Roman" w:cs="Times New Roman"/>
          <w:color w:val="000000" w:themeColor="text1"/>
        </w:rPr>
        <w:t>Journal</w:t>
      </w:r>
      <w:proofErr w:type="spellEnd"/>
      <w:r w:rsidRPr="005E485D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</w:rPr>
        <w:t>of</w:t>
      </w:r>
      <w:proofErr w:type="spellEnd"/>
      <w:r w:rsidRPr="005E485D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5E485D">
        <w:rPr>
          <w:rFonts w:ascii="Times New Roman" w:hAnsi="Times New Roman" w:cs="Times New Roman"/>
          <w:color w:val="000000" w:themeColor="text1"/>
        </w:rPr>
        <w:t>interdisciplinary</w:t>
      </w:r>
      <w:proofErr w:type="spellEnd"/>
      <w:r w:rsidRPr="005E485D">
        <w:rPr>
          <w:rFonts w:ascii="Times New Roman" w:hAnsi="Times New Roman" w:cs="Times New Roman"/>
          <w:color w:val="000000" w:themeColor="text1"/>
        </w:rPr>
        <w:t xml:space="preserve"> Music </w:t>
      </w:r>
      <w:proofErr w:type="spellStart"/>
      <w:r w:rsidRPr="005E485D">
        <w:rPr>
          <w:rFonts w:ascii="Times New Roman" w:hAnsi="Times New Roman" w:cs="Times New Roman"/>
          <w:color w:val="000000" w:themeColor="text1"/>
        </w:rPr>
        <w:t>Studies</w:t>
      </w:r>
      <w:proofErr w:type="spellEnd"/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Vol. 8 (2014-2016), pp. 65-78. Disponível em: </w:t>
      </w:r>
      <w:hyperlink r:id="rId12" w:history="1">
        <w:r w:rsidRPr="005E485D">
          <w:rPr>
            <w:rStyle w:val="Hyperlink"/>
            <w:rFonts w:ascii="Times New Roman" w:hAnsi="Times New Roman" w:cs="Times New Roman"/>
            <w:color w:val="000000" w:themeColor="text1"/>
            <w:shd w:val="clear" w:color="auto" w:fill="FFFFFF"/>
          </w:rPr>
          <w:t>http://musicstudies.org/wp-content/uploads/2017/03/Rotter-Broman_JIMS_16081203.pdf</w:t>
        </w:r>
      </w:hyperlink>
      <w:r w:rsidRPr="005E485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(acesso em 01/08/2017)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5E485D" w:rsidRDefault="005E485D" w:rsidP="005E485D">
      <w:pPr>
        <w:pStyle w:val="Default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5E485D" w:rsidRPr="005E485D" w:rsidRDefault="005E485D" w:rsidP="005E485D">
      <w:pPr>
        <w:pStyle w:val="Default"/>
        <w:rPr>
          <w:rFonts w:ascii="Times New Roman" w:hAnsi="Times New Roman" w:cs="Times New Roman"/>
          <w:color w:val="000000" w:themeColor="text1"/>
        </w:rPr>
      </w:pPr>
    </w:p>
    <w:sectPr w:rsidR="005E485D" w:rsidRPr="005E485D" w:rsidSect="006B01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A16" w:rsidRDefault="00971A16" w:rsidP="00750F60">
      <w:pPr>
        <w:spacing w:line="240" w:lineRule="auto"/>
      </w:pPr>
      <w:r>
        <w:separator/>
      </w:r>
    </w:p>
  </w:endnote>
  <w:endnote w:type="continuationSeparator" w:id="0">
    <w:p w:rsidR="00971A16" w:rsidRDefault="00971A16" w:rsidP="00750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de">
    <w:altName w:val="Cod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A16" w:rsidRDefault="00971A16" w:rsidP="00750F60">
      <w:pPr>
        <w:spacing w:line="240" w:lineRule="auto"/>
      </w:pPr>
      <w:r>
        <w:separator/>
      </w:r>
    </w:p>
  </w:footnote>
  <w:footnote w:type="continuationSeparator" w:id="0">
    <w:p w:rsidR="00971A16" w:rsidRDefault="00971A16" w:rsidP="00750F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3409"/>
    <w:multiLevelType w:val="multilevel"/>
    <w:tmpl w:val="B628A788"/>
    <w:lvl w:ilvl="0">
      <w:start w:val="1"/>
      <w:numFmt w:val="bullet"/>
      <w:lvlText w:val=""/>
      <w:lvlJc w:val="left"/>
      <w:pPr>
        <w:tabs>
          <w:tab w:val="num" w:pos="2308"/>
        </w:tabs>
        <w:ind w:left="230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028"/>
        </w:tabs>
        <w:ind w:left="302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468"/>
        </w:tabs>
        <w:ind w:left="446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188"/>
        </w:tabs>
        <w:ind w:left="518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628"/>
        </w:tabs>
        <w:ind w:left="662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348"/>
        </w:tabs>
        <w:ind w:left="734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068"/>
        </w:tabs>
        <w:ind w:left="8068" w:hanging="360"/>
      </w:pPr>
      <w:rPr>
        <w:rFonts w:ascii="Symbol" w:hAnsi="Symbol" w:hint="default"/>
        <w:sz w:val="20"/>
      </w:rPr>
    </w:lvl>
  </w:abstractNum>
  <w:abstractNum w:abstractNumId="1">
    <w:nsid w:val="40DC70E7"/>
    <w:multiLevelType w:val="hybridMultilevel"/>
    <w:tmpl w:val="CBA2C1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0583D"/>
    <w:multiLevelType w:val="multilevel"/>
    <w:tmpl w:val="DDAE1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95"/>
    <w:rsid w:val="00002D4E"/>
    <w:rsid w:val="0003539B"/>
    <w:rsid w:val="000C3DE5"/>
    <w:rsid w:val="000F6582"/>
    <w:rsid w:val="001203B4"/>
    <w:rsid w:val="00120419"/>
    <w:rsid w:val="001325DF"/>
    <w:rsid w:val="001501E6"/>
    <w:rsid w:val="00167DC4"/>
    <w:rsid w:val="001730AC"/>
    <w:rsid w:val="00197705"/>
    <w:rsid w:val="001A7D7A"/>
    <w:rsid w:val="001F29C2"/>
    <w:rsid w:val="00201FA3"/>
    <w:rsid w:val="00222181"/>
    <w:rsid w:val="0023725A"/>
    <w:rsid w:val="00261C7B"/>
    <w:rsid w:val="00276123"/>
    <w:rsid w:val="00280A82"/>
    <w:rsid w:val="002B05E3"/>
    <w:rsid w:val="002B56FF"/>
    <w:rsid w:val="002C2510"/>
    <w:rsid w:val="002C58BD"/>
    <w:rsid w:val="002D4A3A"/>
    <w:rsid w:val="002F68FC"/>
    <w:rsid w:val="002F7222"/>
    <w:rsid w:val="003034D1"/>
    <w:rsid w:val="00320CFF"/>
    <w:rsid w:val="0038153F"/>
    <w:rsid w:val="003870BE"/>
    <w:rsid w:val="00393690"/>
    <w:rsid w:val="00395727"/>
    <w:rsid w:val="003A1AFF"/>
    <w:rsid w:val="003A3DA0"/>
    <w:rsid w:val="004108AB"/>
    <w:rsid w:val="00412777"/>
    <w:rsid w:val="00440F5E"/>
    <w:rsid w:val="004551B5"/>
    <w:rsid w:val="0048324E"/>
    <w:rsid w:val="0048469A"/>
    <w:rsid w:val="004D2970"/>
    <w:rsid w:val="004F283A"/>
    <w:rsid w:val="004F2998"/>
    <w:rsid w:val="00513213"/>
    <w:rsid w:val="00514CBA"/>
    <w:rsid w:val="00522FC6"/>
    <w:rsid w:val="00532B3D"/>
    <w:rsid w:val="0053642B"/>
    <w:rsid w:val="0053779E"/>
    <w:rsid w:val="00551A8F"/>
    <w:rsid w:val="00551E38"/>
    <w:rsid w:val="005704CB"/>
    <w:rsid w:val="00586BA6"/>
    <w:rsid w:val="005A6B43"/>
    <w:rsid w:val="005C5695"/>
    <w:rsid w:val="005D581B"/>
    <w:rsid w:val="005E485D"/>
    <w:rsid w:val="00654485"/>
    <w:rsid w:val="00656F72"/>
    <w:rsid w:val="0065706C"/>
    <w:rsid w:val="00663EAA"/>
    <w:rsid w:val="006653FF"/>
    <w:rsid w:val="006768B2"/>
    <w:rsid w:val="00676B0F"/>
    <w:rsid w:val="006A7A52"/>
    <w:rsid w:val="006B012D"/>
    <w:rsid w:val="006B5B73"/>
    <w:rsid w:val="006C3C6A"/>
    <w:rsid w:val="006D19A6"/>
    <w:rsid w:val="006E694B"/>
    <w:rsid w:val="00750F60"/>
    <w:rsid w:val="00786D9B"/>
    <w:rsid w:val="007C0F28"/>
    <w:rsid w:val="008016BB"/>
    <w:rsid w:val="008037E4"/>
    <w:rsid w:val="00820247"/>
    <w:rsid w:val="0083123E"/>
    <w:rsid w:val="008B4382"/>
    <w:rsid w:val="008C03D6"/>
    <w:rsid w:val="008D73DE"/>
    <w:rsid w:val="008E2379"/>
    <w:rsid w:val="008E4E67"/>
    <w:rsid w:val="008E7112"/>
    <w:rsid w:val="0090309B"/>
    <w:rsid w:val="00927F19"/>
    <w:rsid w:val="00954180"/>
    <w:rsid w:val="009609EE"/>
    <w:rsid w:val="00971A16"/>
    <w:rsid w:val="00973167"/>
    <w:rsid w:val="00994202"/>
    <w:rsid w:val="009E26C1"/>
    <w:rsid w:val="009E7523"/>
    <w:rsid w:val="009F07D1"/>
    <w:rsid w:val="00A029A4"/>
    <w:rsid w:val="00A51418"/>
    <w:rsid w:val="00A61C45"/>
    <w:rsid w:val="00AA6A28"/>
    <w:rsid w:val="00AB58A3"/>
    <w:rsid w:val="00AB659E"/>
    <w:rsid w:val="00AC2BF2"/>
    <w:rsid w:val="00AD3886"/>
    <w:rsid w:val="00AF6A0C"/>
    <w:rsid w:val="00B340C7"/>
    <w:rsid w:val="00B35191"/>
    <w:rsid w:val="00B35FAA"/>
    <w:rsid w:val="00B9030E"/>
    <w:rsid w:val="00BA7865"/>
    <w:rsid w:val="00BB36F4"/>
    <w:rsid w:val="00BB58BA"/>
    <w:rsid w:val="00BC38AA"/>
    <w:rsid w:val="00BD7BDD"/>
    <w:rsid w:val="00BE3885"/>
    <w:rsid w:val="00C30EF2"/>
    <w:rsid w:val="00C6133F"/>
    <w:rsid w:val="00C664AC"/>
    <w:rsid w:val="00C946C9"/>
    <w:rsid w:val="00CB3621"/>
    <w:rsid w:val="00CD30D9"/>
    <w:rsid w:val="00CE5878"/>
    <w:rsid w:val="00D000EE"/>
    <w:rsid w:val="00D54BC1"/>
    <w:rsid w:val="00D756CE"/>
    <w:rsid w:val="00D75F60"/>
    <w:rsid w:val="00D91A50"/>
    <w:rsid w:val="00DE190C"/>
    <w:rsid w:val="00DF2FB8"/>
    <w:rsid w:val="00E151EC"/>
    <w:rsid w:val="00E2481F"/>
    <w:rsid w:val="00E8303F"/>
    <w:rsid w:val="00E906DD"/>
    <w:rsid w:val="00EA053E"/>
    <w:rsid w:val="00EA37F2"/>
    <w:rsid w:val="00EA3880"/>
    <w:rsid w:val="00EA5482"/>
    <w:rsid w:val="00ED72D3"/>
    <w:rsid w:val="00EF2463"/>
    <w:rsid w:val="00F1519D"/>
    <w:rsid w:val="00F30294"/>
    <w:rsid w:val="00F91F77"/>
    <w:rsid w:val="00FB4249"/>
    <w:rsid w:val="00FD66C4"/>
    <w:rsid w:val="00FE143D"/>
    <w:rsid w:val="00FE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8BD"/>
    <w:pPr>
      <w:spacing w:line="300" w:lineRule="auto"/>
      <w:jc w:val="both"/>
    </w:pPr>
    <w:rPr>
      <w:rFonts w:ascii="Trebuchet MS" w:hAnsi="Trebuchet MS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AA6A28"/>
    <w:pPr>
      <w:spacing w:before="240"/>
      <w:outlineLvl w:val="0"/>
    </w:pPr>
    <w:rPr>
      <w:sz w:val="28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A7D7A"/>
    <w:pPr>
      <w:spacing w:before="240"/>
      <w:contextualSpacing/>
      <w:outlineLvl w:val="1"/>
    </w:pPr>
    <w:rPr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E48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Bibliografia">
    <w:name w:val="Bibliography"/>
    <w:basedOn w:val="Normal"/>
    <w:next w:val="Normal"/>
    <w:uiPriority w:val="37"/>
    <w:semiHidden/>
    <w:unhideWhenUsed/>
    <w:rsid w:val="002F68FC"/>
    <w:pPr>
      <w:spacing w:line="360" w:lineRule="auto"/>
    </w:pPr>
  </w:style>
  <w:style w:type="table" w:styleId="Tabelacomgrade">
    <w:name w:val="Table Grid"/>
    <w:basedOn w:val="Tabelanormal"/>
    <w:uiPriority w:val="39"/>
    <w:rsid w:val="00FD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F6A0C"/>
    <w:pPr>
      <w:ind w:left="720"/>
      <w:contextualSpacing/>
    </w:pPr>
  </w:style>
  <w:style w:type="character" w:customStyle="1" w:styleId="Ttulo1Char">
    <w:name w:val="Título 1 Char"/>
    <w:link w:val="Ttulo1"/>
    <w:uiPriority w:val="9"/>
    <w:rsid w:val="00AA6A28"/>
    <w:rPr>
      <w:rFonts w:ascii="Trebuchet MS" w:hAnsi="Trebuchet MS"/>
      <w:sz w:val="28"/>
      <w:szCs w:val="24"/>
    </w:rPr>
  </w:style>
  <w:style w:type="character" w:customStyle="1" w:styleId="Ttulo2Char">
    <w:name w:val="Título 2 Char"/>
    <w:link w:val="Ttulo2"/>
    <w:uiPriority w:val="9"/>
    <w:rsid w:val="001A7D7A"/>
    <w:rPr>
      <w:rFonts w:ascii="Trebuchet MS" w:hAnsi="Trebuchet MS"/>
      <w:b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AF6A0C"/>
    <w:pPr>
      <w:jc w:val="center"/>
    </w:pPr>
    <w:rPr>
      <w:b/>
      <w:sz w:val="28"/>
    </w:rPr>
  </w:style>
  <w:style w:type="character" w:customStyle="1" w:styleId="TtuloChar">
    <w:name w:val="Título Char"/>
    <w:link w:val="Ttulo"/>
    <w:uiPriority w:val="10"/>
    <w:rsid w:val="00AF6A0C"/>
    <w:rPr>
      <w:rFonts w:ascii="Trebuchet MS" w:hAnsi="Trebuchet MS"/>
      <w:b/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68B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6768B2"/>
    <w:rPr>
      <w:rFonts w:ascii="Lucida Grande" w:hAnsi="Lucida Grande" w:cs="Lucida Grande"/>
      <w:sz w:val="18"/>
      <w:szCs w:val="18"/>
    </w:rPr>
  </w:style>
  <w:style w:type="character" w:styleId="Forte">
    <w:name w:val="Strong"/>
    <w:basedOn w:val="Fontepargpadro"/>
    <w:uiPriority w:val="22"/>
    <w:qFormat/>
    <w:rsid w:val="00927F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0EF2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C3DE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C38AA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750F6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0F60"/>
    <w:rPr>
      <w:rFonts w:ascii="Trebuchet MS" w:hAnsi="Trebuchet MS"/>
      <w:sz w:val="24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750F6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0F60"/>
    <w:rPr>
      <w:rFonts w:ascii="Trebuchet MS" w:hAnsi="Trebuchet MS"/>
      <w:sz w:val="24"/>
      <w:szCs w:val="22"/>
      <w:lang w:eastAsia="en-US"/>
    </w:rPr>
  </w:style>
  <w:style w:type="paragraph" w:customStyle="1" w:styleId="Default">
    <w:name w:val="Default"/>
    <w:rsid w:val="005E485D"/>
    <w:pPr>
      <w:autoSpaceDE w:val="0"/>
      <w:autoSpaceDN w:val="0"/>
      <w:adjustRightInd w:val="0"/>
    </w:pPr>
    <w:rPr>
      <w:rFonts w:ascii="Code" w:hAnsi="Code" w:cs="Code"/>
      <w:color w:val="00000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E48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8BD"/>
    <w:pPr>
      <w:spacing w:line="300" w:lineRule="auto"/>
      <w:jc w:val="both"/>
    </w:pPr>
    <w:rPr>
      <w:rFonts w:ascii="Trebuchet MS" w:hAnsi="Trebuchet MS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AA6A28"/>
    <w:pPr>
      <w:spacing w:before="240"/>
      <w:outlineLvl w:val="0"/>
    </w:pPr>
    <w:rPr>
      <w:sz w:val="28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A7D7A"/>
    <w:pPr>
      <w:spacing w:before="240"/>
      <w:contextualSpacing/>
      <w:outlineLvl w:val="1"/>
    </w:pPr>
    <w:rPr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E48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Bibliografia">
    <w:name w:val="Bibliography"/>
    <w:basedOn w:val="Normal"/>
    <w:next w:val="Normal"/>
    <w:uiPriority w:val="37"/>
    <w:semiHidden/>
    <w:unhideWhenUsed/>
    <w:rsid w:val="002F68FC"/>
    <w:pPr>
      <w:spacing w:line="360" w:lineRule="auto"/>
    </w:pPr>
  </w:style>
  <w:style w:type="table" w:styleId="Tabelacomgrade">
    <w:name w:val="Table Grid"/>
    <w:basedOn w:val="Tabelanormal"/>
    <w:uiPriority w:val="39"/>
    <w:rsid w:val="00FD66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F6A0C"/>
    <w:pPr>
      <w:ind w:left="720"/>
      <w:contextualSpacing/>
    </w:pPr>
  </w:style>
  <w:style w:type="character" w:customStyle="1" w:styleId="Ttulo1Char">
    <w:name w:val="Título 1 Char"/>
    <w:link w:val="Ttulo1"/>
    <w:uiPriority w:val="9"/>
    <w:rsid w:val="00AA6A28"/>
    <w:rPr>
      <w:rFonts w:ascii="Trebuchet MS" w:hAnsi="Trebuchet MS"/>
      <w:sz w:val="28"/>
      <w:szCs w:val="24"/>
    </w:rPr>
  </w:style>
  <w:style w:type="character" w:customStyle="1" w:styleId="Ttulo2Char">
    <w:name w:val="Título 2 Char"/>
    <w:link w:val="Ttulo2"/>
    <w:uiPriority w:val="9"/>
    <w:rsid w:val="001A7D7A"/>
    <w:rPr>
      <w:rFonts w:ascii="Trebuchet MS" w:hAnsi="Trebuchet MS"/>
      <w:b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AF6A0C"/>
    <w:pPr>
      <w:jc w:val="center"/>
    </w:pPr>
    <w:rPr>
      <w:b/>
      <w:sz w:val="28"/>
    </w:rPr>
  </w:style>
  <w:style w:type="character" w:customStyle="1" w:styleId="TtuloChar">
    <w:name w:val="Título Char"/>
    <w:link w:val="Ttulo"/>
    <w:uiPriority w:val="10"/>
    <w:rsid w:val="00AF6A0C"/>
    <w:rPr>
      <w:rFonts w:ascii="Trebuchet MS" w:hAnsi="Trebuchet MS"/>
      <w:b/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768B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6768B2"/>
    <w:rPr>
      <w:rFonts w:ascii="Lucida Grande" w:hAnsi="Lucida Grande" w:cs="Lucida Grande"/>
      <w:sz w:val="18"/>
      <w:szCs w:val="18"/>
    </w:rPr>
  </w:style>
  <w:style w:type="character" w:styleId="Forte">
    <w:name w:val="Strong"/>
    <w:basedOn w:val="Fontepargpadro"/>
    <w:uiPriority w:val="22"/>
    <w:qFormat/>
    <w:rsid w:val="00927F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30EF2"/>
    <w:pPr>
      <w:spacing w:before="100" w:beforeAutospacing="1" w:after="100" w:afterAutospacing="1" w:line="240" w:lineRule="auto"/>
      <w:jc w:val="left"/>
    </w:pPr>
    <w:rPr>
      <w:rFonts w:ascii="Times New Roman" w:hAnsi="Times New Roman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0C3DE5"/>
    <w:rPr>
      <w:color w:val="0000FF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C38AA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750F6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0F60"/>
    <w:rPr>
      <w:rFonts w:ascii="Trebuchet MS" w:hAnsi="Trebuchet MS"/>
      <w:sz w:val="24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750F6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0F60"/>
    <w:rPr>
      <w:rFonts w:ascii="Trebuchet MS" w:hAnsi="Trebuchet MS"/>
      <w:sz w:val="24"/>
      <w:szCs w:val="22"/>
      <w:lang w:eastAsia="en-US"/>
    </w:rPr>
  </w:style>
  <w:style w:type="paragraph" w:customStyle="1" w:styleId="Default">
    <w:name w:val="Default"/>
    <w:rsid w:val="005E485D"/>
    <w:pPr>
      <w:autoSpaceDE w:val="0"/>
      <w:autoSpaceDN w:val="0"/>
      <w:adjustRightInd w:val="0"/>
    </w:pPr>
    <w:rPr>
      <w:rFonts w:ascii="Code" w:hAnsi="Code" w:cs="Code"/>
      <w:color w:val="000000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E48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usicstudies.org/wp-content/uploads/2017/03/Rotter-Broman_JIMS_1608120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stor.org/stable/41692739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FA642-8C43-41D0-B3E0-E21F50A15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3</Pages>
  <Words>959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Borges</dc:creator>
  <cp:keywords/>
  <dc:description/>
  <cp:lastModifiedBy>User</cp:lastModifiedBy>
  <cp:revision>8</cp:revision>
  <dcterms:created xsi:type="dcterms:W3CDTF">2017-08-21T16:50:00Z</dcterms:created>
  <dcterms:modified xsi:type="dcterms:W3CDTF">2017-08-25T15:48:00Z</dcterms:modified>
</cp:coreProperties>
</file>