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79" w:rsidRPr="000A6150" w:rsidRDefault="00E10779" w:rsidP="000A6150">
      <w:pPr>
        <w:pStyle w:val="NormalWeb"/>
        <w:spacing w:before="360" w:beforeAutospacing="0" w:after="360" w:afterAutospacing="0" w:line="276" w:lineRule="auto"/>
        <w:ind w:right="-1135"/>
        <w:jc w:val="center"/>
        <w:rPr>
          <w:b/>
          <w:color w:val="000000"/>
        </w:rPr>
      </w:pPr>
      <w:proofErr w:type="spellStart"/>
      <w:r w:rsidRPr="000A6150">
        <w:rPr>
          <w:b/>
          <w:color w:val="000000"/>
        </w:rPr>
        <w:t>Inep</w:t>
      </w:r>
      <w:proofErr w:type="spellEnd"/>
      <w:r w:rsidRPr="000A6150">
        <w:rPr>
          <w:b/>
          <w:color w:val="000000"/>
        </w:rPr>
        <w:t xml:space="preserve"> divulgou os Indicadores de Qualidade da Educação Superior</w:t>
      </w:r>
      <w:r w:rsidR="000A6150" w:rsidRPr="000A6150">
        <w:rPr>
          <w:b/>
          <w:color w:val="000000"/>
        </w:rPr>
        <w:t xml:space="preserve"> 2015</w:t>
      </w:r>
    </w:p>
    <w:p w:rsidR="00E10779" w:rsidRPr="000A6150" w:rsidRDefault="00E10779" w:rsidP="000A6150">
      <w:pPr>
        <w:pStyle w:val="NormalWeb"/>
        <w:spacing w:before="360" w:beforeAutospacing="0" w:after="360" w:afterAutospacing="0" w:line="276" w:lineRule="auto"/>
        <w:ind w:left="-851" w:right="-1135" w:firstLine="851"/>
        <w:jc w:val="both"/>
        <w:rPr>
          <w:color w:val="000000"/>
        </w:rPr>
      </w:pPr>
      <w:r w:rsidRPr="000A6150">
        <w:rPr>
          <w:color w:val="000000"/>
        </w:rPr>
        <w:t xml:space="preserve">O Instituto Nacional de Estudos e Pesquisas Educacionais Anísio Teixeira (Inep) divulgou os Indicadores de Qualidade da Educação Superior 2015 durante Coletiva de Imprensa na sede da autarquia, em Brasília, na manhã desta quarta-feira, </w:t>
      </w:r>
      <w:proofErr w:type="gramStart"/>
      <w:r w:rsidRPr="000A6150">
        <w:rPr>
          <w:color w:val="000000"/>
        </w:rPr>
        <w:t>8</w:t>
      </w:r>
      <w:proofErr w:type="gramEnd"/>
      <w:r w:rsidRPr="000A6150">
        <w:rPr>
          <w:color w:val="000000"/>
        </w:rPr>
        <w:t xml:space="preserve">. Os dados foram apresentados pela presidente do </w:t>
      </w:r>
      <w:proofErr w:type="spellStart"/>
      <w:r w:rsidRPr="000A6150">
        <w:rPr>
          <w:color w:val="000000"/>
        </w:rPr>
        <w:t>Inep</w:t>
      </w:r>
      <w:proofErr w:type="spellEnd"/>
      <w:r w:rsidRPr="000A6150">
        <w:rPr>
          <w:color w:val="000000"/>
        </w:rPr>
        <w:t xml:space="preserve">, Maria Inês </w:t>
      </w:r>
      <w:proofErr w:type="spellStart"/>
      <w:r w:rsidRPr="000A6150">
        <w:rPr>
          <w:color w:val="000000"/>
        </w:rPr>
        <w:t>Fini</w:t>
      </w:r>
      <w:proofErr w:type="spellEnd"/>
      <w:r w:rsidRPr="000A6150">
        <w:rPr>
          <w:color w:val="000000"/>
        </w:rPr>
        <w:t xml:space="preserve">, e </w:t>
      </w:r>
      <w:proofErr w:type="gramStart"/>
      <w:r w:rsidRPr="000A6150">
        <w:rPr>
          <w:color w:val="000000"/>
        </w:rPr>
        <w:t>revelam</w:t>
      </w:r>
      <w:proofErr w:type="gramEnd"/>
      <w:r w:rsidRPr="000A6150">
        <w:rPr>
          <w:color w:val="000000"/>
        </w:rPr>
        <w:t>, em uma escala de 1 a 5, qual é a avaliação dos cursos de graduação e as Instituições de Educação Superior (IES) brasileiros. Os indicadores, por curso e IES, estão disponíveis para consulta no portal do Inep e no sistema E-MEC.</w:t>
      </w:r>
    </w:p>
    <w:p w:rsidR="00E10779" w:rsidRPr="000A6150" w:rsidRDefault="00E10779" w:rsidP="000A6150">
      <w:pPr>
        <w:pStyle w:val="NormalWeb"/>
        <w:spacing w:before="360" w:beforeAutospacing="0" w:after="360" w:afterAutospacing="0" w:line="276" w:lineRule="auto"/>
        <w:ind w:left="-851" w:right="-1135" w:firstLine="851"/>
        <w:jc w:val="both"/>
        <w:rPr>
          <w:color w:val="000000"/>
        </w:rPr>
      </w:pPr>
      <w:r w:rsidRPr="000A6150">
        <w:rPr>
          <w:color w:val="000000"/>
        </w:rPr>
        <w:t xml:space="preserve">São três os Indicadores de Qualidade da Educação Superior: Conceito </w:t>
      </w:r>
      <w:proofErr w:type="spellStart"/>
      <w:r w:rsidRPr="000A6150">
        <w:rPr>
          <w:color w:val="000000"/>
        </w:rPr>
        <w:t>Enade</w:t>
      </w:r>
      <w:proofErr w:type="spellEnd"/>
      <w:r w:rsidRPr="000A6150">
        <w:rPr>
          <w:color w:val="000000"/>
        </w:rPr>
        <w:t>; Conceito Preliminar de Curso (CPC) e Índice Geral de Cursos Avaliados da Instituição (IGC). Eles mantêm relação direta com o Ciclo Avaliativo do Exame Nacional de Desempenho de Estudantes (</w:t>
      </w:r>
      <w:proofErr w:type="spellStart"/>
      <w:r w:rsidRPr="000A6150">
        <w:rPr>
          <w:color w:val="000000"/>
        </w:rPr>
        <w:t>Enade</w:t>
      </w:r>
      <w:proofErr w:type="spellEnd"/>
      <w:r w:rsidRPr="000A6150">
        <w:rPr>
          <w:color w:val="000000"/>
        </w:rPr>
        <w:t>) e, portanto, são avaliados segundo as áreas de avaliação vinculadas a um dos três ciclos. Em 2015, foram avaliados os bacharelados nas áreas de Ciências Sociais Aplicadas, Ciências Humanas e áreas afins e os Eixos Tecnológicos em Gestão e Negócios, Apoio Escolar, Hospitalidade e Lazer, Produção Cultural e Design.</w:t>
      </w:r>
    </w:p>
    <w:p w:rsidR="00E10779" w:rsidRPr="000A6150" w:rsidRDefault="00E10779" w:rsidP="000A6150">
      <w:pPr>
        <w:pStyle w:val="NormalWeb"/>
        <w:spacing w:before="360" w:beforeAutospacing="0" w:after="360" w:afterAutospacing="0" w:line="276" w:lineRule="auto"/>
        <w:ind w:left="-851" w:right="-1135" w:firstLine="851"/>
        <w:jc w:val="both"/>
        <w:rPr>
          <w:color w:val="000000"/>
        </w:rPr>
      </w:pPr>
      <w:r w:rsidRPr="000A6150">
        <w:rPr>
          <w:color w:val="000000"/>
        </w:rPr>
        <w:t>O</w:t>
      </w:r>
      <w:r w:rsidRPr="000A6150">
        <w:rPr>
          <w:rStyle w:val="apple-converted-space"/>
          <w:color w:val="000000"/>
        </w:rPr>
        <w:t> </w:t>
      </w:r>
      <w:r w:rsidRPr="000A6150">
        <w:rPr>
          <w:rStyle w:val="Forte"/>
          <w:color w:val="000000"/>
        </w:rPr>
        <w:t xml:space="preserve">Conceito </w:t>
      </w:r>
      <w:proofErr w:type="spellStart"/>
      <w:r w:rsidRPr="000A6150">
        <w:rPr>
          <w:rStyle w:val="Forte"/>
          <w:color w:val="000000"/>
        </w:rPr>
        <w:t>Enade</w:t>
      </w:r>
      <w:proofErr w:type="spellEnd"/>
      <w:r w:rsidRPr="000A6150">
        <w:rPr>
          <w:rStyle w:val="Forte"/>
          <w:color w:val="000000"/>
        </w:rPr>
        <w:t xml:space="preserve"> (CE)</w:t>
      </w:r>
      <w:r w:rsidRPr="000A6150">
        <w:rPr>
          <w:rStyle w:val="apple-converted-space"/>
          <w:color w:val="000000"/>
        </w:rPr>
        <w:t> </w:t>
      </w:r>
      <w:r w:rsidRPr="000A6150">
        <w:rPr>
          <w:color w:val="000000"/>
        </w:rPr>
        <w:t xml:space="preserve">é um indicador de qualidade calculado a partir dos desempenhos dos estudantes concluintes dos cursos de graduação no </w:t>
      </w:r>
      <w:proofErr w:type="spellStart"/>
      <w:r w:rsidRPr="000A6150">
        <w:rPr>
          <w:color w:val="000000"/>
        </w:rPr>
        <w:t>Enade</w:t>
      </w:r>
      <w:proofErr w:type="spellEnd"/>
      <w:r w:rsidRPr="000A6150">
        <w:rPr>
          <w:color w:val="000000"/>
        </w:rPr>
        <w:t xml:space="preserve">. O indicador é resultante da média ponderada da nota padronizada dos concluintes na prova de Formação Geral (10 questões, sendo </w:t>
      </w:r>
      <w:proofErr w:type="gramStart"/>
      <w:r w:rsidRPr="000A6150">
        <w:rPr>
          <w:color w:val="000000"/>
        </w:rPr>
        <w:t>8</w:t>
      </w:r>
      <w:proofErr w:type="gramEnd"/>
      <w:r w:rsidRPr="000A6150">
        <w:rPr>
          <w:color w:val="000000"/>
        </w:rPr>
        <w:t xml:space="preserve"> objetivas e duas discursivas, comum para todas as áreas avaliadas) e na Conhecimento Específico (30 questões, sendo 27 objetivas e três discursivas). Em 2015; 3,4% dos concluintes que fizeram o </w:t>
      </w:r>
      <w:proofErr w:type="spellStart"/>
      <w:r w:rsidRPr="000A6150">
        <w:rPr>
          <w:color w:val="000000"/>
        </w:rPr>
        <w:t>Enade</w:t>
      </w:r>
      <w:proofErr w:type="spellEnd"/>
      <w:r w:rsidRPr="000A6150">
        <w:rPr>
          <w:color w:val="000000"/>
        </w:rPr>
        <w:t xml:space="preserve"> obtiveram o conceito </w:t>
      </w:r>
      <w:proofErr w:type="gramStart"/>
      <w:r w:rsidRPr="000A6150">
        <w:rPr>
          <w:color w:val="000000"/>
        </w:rPr>
        <w:t>1</w:t>
      </w:r>
      <w:proofErr w:type="gramEnd"/>
      <w:r w:rsidRPr="000A6150">
        <w:rPr>
          <w:color w:val="000000"/>
        </w:rPr>
        <w:t>; 26,9%, o conceito 2; 42,7%, o conceito 3; 18,8%, o conceito 4 e 5%, o conceito 5.</w:t>
      </w:r>
    </w:p>
    <w:p w:rsidR="000A6150" w:rsidRDefault="00E10779" w:rsidP="000A6150">
      <w:pPr>
        <w:pStyle w:val="NormalWeb"/>
        <w:spacing w:before="360" w:beforeAutospacing="0" w:after="360" w:afterAutospacing="0" w:line="276" w:lineRule="auto"/>
        <w:ind w:left="-851" w:right="-1135" w:firstLine="851"/>
        <w:jc w:val="both"/>
        <w:rPr>
          <w:color w:val="000000"/>
        </w:rPr>
      </w:pPr>
      <w:r w:rsidRPr="000A6150">
        <w:rPr>
          <w:color w:val="000000"/>
        </w:rPr>
        <w:t>O</w:t>
      </w:r>
      <w:r w:rsidRPr="000A6150">
        <w:rPr>
          <w:rStyle w:val="apple-converted-space"/>
          <w:color w:val="000000"/>
        </w:rPr>
        <w:t> </w:t>
      </w:r>
      <w:r w:rsidRPr="000A6150">
        <w:rPr>
          <w:rStyle w:val="Forte"/>
          <w:color w:val="000000"/>
        </w:rPr>
        <w:t>Conceito Preliminar de Curso (CPC)</w:t>
      </w:r>
      <w:r w:rsidRPr="000A6150">
        <w:rPr>
          <w:rStyle w:val="apple-converted-space"/>
          <w:color w:val="000000"/>
        </w:rPr>
        <w:t> </w:t>
      </w:r>
      <w:r w:rsidRPr="000A6150">
        <w:rPr>
          <w:color w:val="000000"/>
        </w:rPr>
        <w:t xml:space="preserve">é um indicador de qualidade que agrega diferentes variáveis: resultados da avaliação de desempenho de estudantes, ou seja, o Conceito </w:t>
      </w:r>
      <w:proofErr w:type="spellStart"/>
      <w:r w:rsidRPr="000A6150">
        <w:rPr>
          <w:color w:val="000000"/>
        </w:rPr>
        <w:t>Enade</w:t>
      </w:r>
      <w:proofErr w:type="spellEnd"/>
      <w:r w:rsidRPr="000A6150">
        <w:rPr>
          <w:color w:val="000000"/>
        </w:rPr>
        <w:t xml:space="preserve">; titulação e regime de trabalho do corpo docente; percepções dos estudantes sobre a organização didático-pedagógica, infraestrutura e as oportunidades de ampliação da formação acadêmica e profissional. O indicador é calculado somente para cursos com, no mínimo, dois concluintes participantes no </w:t>
      </w:r>
      <w:proofErr w:type="spellStart"/>
      <w:r w:rsidRPr="000A6150">
        <w:rPr>
          <w:color w:val="000000"/>
        </w:rPr>
        <w:t>Enade</w:t>
      </w:r>
      <w:proofErr w:type="spellEnd"/>
      <w:r w:rsidRPr="000A6150">
        <w:rPr>
          <w:color w:val="000000"/>
        </w:rPr>
        <w:t xml:space="preserve">. Em 2015; 0,3% dos cursos obtiveram conceito </w:t>
      </w:r>
      <w:proofErr w:type="gramStart"/>
      <w:r w:rsidRPr="000A6150">
        <w:rPr>
          <w:color w:val="000000"/>
        </w:rPr>
        <w:t>1</w:t>
      </w:r>
      <w:proofErr w:type="gramEnd"/>
      <w:r w:rsidRPr="000A6150">
        <w:rPr>
          <w:color w:val="000000"/>
        </w:rPr>
        <w:t>; 11%, conceito 2; 57,7%, conceito 3; 26,5%, conceito 4 e 1,1%, o conceito 5.</w:t>
      </w:r>
    </w:p>
    <w:p w:rsidR="00554156" w:rsidRPr="000A6150" w:rsidRDefault="00554156" w:rsidP="000A6150">
      <w:pPr>
        <w:pStyle w:val="NormalWeb"/>
        <w:spacing w:before="360" w:beforeAutospacing="0" w:after="360" w:afterAutospacing="0" w:line="276" w:lineRule="auto"/>
        <w:ind w:left="-851" w:right="-1135" w:firstLine="851"/>
        <w:jc w:val="center"/>
        <w:rPr>
          <w:color w:val="000000"/>
        </w:rPr>
      </w:pPr>
      <w:r w:rsidRPr="000A6150">
        <w:rPr>
          <w:color w:val="000000"/>
        </w:rPr>
        <w:t>Notas Técnicas com as metodologias utilizadas para os cálculos em 2015</w:t>
      </w:r>
      <w:r w:rsidR="000A6150">
        <w:rPr>
          <w:color w:val="000000"/>
        </w:rPr>
        <w:t>:</w:t>
      </w:r>
    </w:p>
    <w:p w:rsidR="00554156" w:rsidRPr="000A6150" w:rsidRDefault="00D7180E" w:rsidP="000A6150">
      <w:pPr>
        <w:spacing w:after="0" w:line="276" w:lineRule="auto"/>
        <w:ind w:left="-851" w:right="-1135"/>
        <w:jc w:val="both"/>
        <w:rPr>
          <w:rFonts w:ascii="Times New Roman" w:eastAsia="Times New Roman" w:hAnsi="Times New Roman" w:cs="Times New Roman"/>
          <w:b/>
          <w:sz w:val="24"/>
          <w:szCs w:val="24"/>
          <w:lang w:eastAsia="pt-BR"/>
        </w:rPr>
      </w:pPr>
      <w:hyperlink r:id="rId5" w:tgtFrame="_blank" w:history="1">
        <w:r w:rsidR="00554156" w:rsidRPr="000A6150">
          <w:rPr>
            <w:rFonts w:ascii="Times New Roman" w:eastAsia="Times New Roman" w:hAnsi="Times New Roman" w:cs="Times New Roman"/>
            <w:b/>
            <w:bCs/>
            <w:sz w:val="24"/>
            <w:szCs w:val="24"/>
            <w:lang w:eastAsia="pt-BR"/>
          </w:rPr>
          <w:t xml:space="preserve">Nota Técnica - Cálculo do Conceito </w:t>
        </w:r>
        <w:proofErr w:type="spellStart"/>
        <w:r w:rsidR="00554156" w:rsidRPr="000A6150">
          <w:rPr>
            <w:rFonts w:ascii="Times New Roman" w:eastAsia="Times New Roman" w:hAnsi="Times New Roman" w:cs="Times New Roman"/>
            <w:b/>
            <w:bCs/>
            <w:sz w:val="24"/>
            <w:szCs w:val="24"/>
            <w:lang w:eastAsia="pt-BR"/>
          </w:rPr>
          <w:t>Enade</w:t>
        </w:r>
        <w:proofErr w:type="spellEnd"/>
        <w:r w:rsidR="00B821E8">
          <w:rPr>
            <w:rFonts w:ascii="Times New Roman" w:eastAsia="Times New Roman" w:hAnsi="Times New Roman" w:cs="Times New Roman"/>
            <w:b/>
            <w:bCs/>
            <w:sz w:val="24"/>
            <w:szCs w:val="24"/>
            <w:lang w:eastAsia="pt-BR"/>
          </w:rPr>
          <w:t xml:space="preserve"> (CE)</w:t>
        </w:r>
        <w:r w:rsidR="00554156" w:rsidRPr="000A6150">
          <w:rPr>
            <w:rFonts w:ascii="Times New Roman" w:eastAsia="Times New Roman" w:hAnsi="Times New Roman" w:cs="Times New Roman"/>
            <w:b/>
            <w:bCs/>
            <w:sz w:val="24"/>
            <w:szCs w:val="24"/>
            <w:lang w:eastAsia="pt-BR"/>
          </w:rPr>
          <w:t xml:space="preserve"> 2015</w:t>
        </w:r>
      </w:hyperlink>
      <w:r w:rsidR="00554156" w:rsidRPr="000A6150">
        <w:rPr>
          <w:rFonts w:ascii="Times New Roman" w:eastAsia="Times New Roman" w:hAnsi="Times New Roman" w:cs="Times New Roman"/>
          <w:b/>
          <w:sz w:val="24"/>
          <w:szCs w:val="24"/>
          <w:lang w:eastAsia="pt-BR"/>
        </w:rPr>
        <w:t> </w:t>
      </w:r>
    </w:p>
    <w:p w:rsidR="00554156" w:rsidRDefault="000A6150" w:rsidP="000A6150">
      <w:pPr>
        <w:spacing w:after="0" w:line="276" w:lineRule="auto"/>
        <w:ind w:left="-851" w:right="-1135"/>
        <w:jc w:val="both"/>
        <w:rPr>
          <w:rFonts w:ascii="Times New Roman" w:eastAsia="Times New Roman" w:hAnsi="Times New Roman" w:cs="Times New Roman"/>
          <w:color w:val="000000"/>
          <w:sz w:val="24"/>
          <w:szCs w:val="24"/>
          <w:lang w:eastAsia="pt-BR"/>
        </w:rPr>
      </w:pPr>
      <w:hyperlink r:id="rId6" w:history="1">
        <w:r w:rsidRPr="000A6150">
          <w:rPr>
            <w:color w:val="000000"/>
            <w:lang w:eastAsia="pt-BR"/>
          </w:rPr>
          <w:t>http://download.inep.gov.br/educacao_superior/enade/notas_tecnicas/2015/nota_tecnica_daes_n22017_calculo_do_conceito_enade2015.pdf</w:t>
        </w:r>
      </w:hyperlink>
    </w:p>
    <w:p w:rsidR="000A6150" w:rsidRPr="000A6150" w:rsidRDefault="000A6150" w:rsidP="000A6150">
      <w:pPr>
        <w:spacing w:after="0" w:line="276" w:lineRule="auto"/>
        <w:ind w:left="-851" w:right="-1135"/>
        <w:jc w:val="both"/>
        <w:rPr>
          <w:rFonts w:ascii="Times New Roman" w:eastAsia="Times New Roman" w:hAnsi="Times New Roman" w:cs="Times New Roman"/>
          <w:color w:val="000000"/>
          <w:sz w:val="24"/>
          <w:szCs w:val="24"/>
          <w:lang w:eastAsia="pt-BR"/>
        </w:rPr>
      </w:pPr>
    </w:p>
    <w:p w:rsidR="00554156" w:rsidRPr="000A6150" w:rsidRDefault="00D7180E" w:rsidP="000A6150">
      <w:pPr>
        <w:spacing w:after="0" w:line="276" w:lineRule="auto"/>
        <w:ind w:left="-851" w:right="-1135"/>
        <w:jc w:val="both"/>
        <w:rPr>
          <w:rFonts w:ascii="Times New Roman" w:eastAsia="Times New Roman" w:hAnsi="Times New Roman" w:cs="Times New Roman"/>
          <w:b/>
          <w:sz w:val="24"/>
          <w:szCs w:val="24"/>
          <w:lang w:eastAsia="pt-BR"/>
        </w:rPr>
      </w:pPr>
      <w:hyperlink r:id="rId7" w:tgtFrame="_blank" w:history="1">
        <w:r w:rsidR="00554156" w:rsidRPr="000A6150">
          <w:rPr>
            <w:rFonts w:ascii="Times New Roman" w:eastAsia="Times New Roman" w:hAnsi="Times New Roman" w:cs="Times New Roman"/>
            <w:b/>
            <w:bCs/>
            <w:sz w:val="24"/>
            <w:szCs w:val="24"/>
            <w:lang w:eastAsia="pt-BR"/>
          </w:rPr>
          <w:t>Nota Técnica - Cálculo do Conceito Preliminar de Curso (CPC) 2015</w:t>
        </w:r>
      </w:hyperlink>
    </w:p>
    <w:p w:rsidR="00554156" w:rsidRPr="000A6150" w:rsidRDefault="00554156" w:rsidP="000A6150">
      <w:pPr>
        <w:spacing w:after="0" w:line="276" w:lineRule="auto"/>
        <w:ind w:left="-851" w:right="-1135"/>
        <w:jc w:val="both"/>
        <w:rPr>
          <w:rFonts w:ascii="Times New Roman" w:eastAsia="Times New Roman" w:hAnsi="Times New Roman" w:cs="Times New Roman"/>
          <w:color w:val="000000"/>
          <w:sz w:val="24"/>
          <w:szCs w:val="24"/>
          <w:lang w:eastAsia="pt-BR"/>
        </w:rPr>
      </w:pPr>
      <w:r w:rsidRPr="000A6150">
        <w:rPr>
          <w:rFonts w:ascii="Times New Roman" w:eastAsia="Times New Roman" w:hAnsi="Times New Roman" w:cs="Times New Roman"/>
          <w:color w:val="000000"/>
          <w:sz w:val="24"/>
          <w:szCs w:val="24"/>
          <w:lang w:eastAsia="pt-BR"/>
        </w:rPr>
        <w:t>http://download.inep.gov.br/educacao_superior/enade/notas_tecnicas/2015/nota_tecnica_daes_n32017_calculo_do_cpc2015.pdf</w:t>
      </w:r>
    </w:p>
    <w:p w:rsidR="00554156" w:rsidRPr="000A6150" w:rsidRDefault="00554156" w:rsidP="000A6150">
      <w:pPr>
        <w:spacing w:line="276" w:lineRule="auto"/>
        <w:ind w:left="-851" w:right="-1135"/>
        <w:rPr>
          <w:rFonts w:ascii="Times New Roman" w:hAnsi="Times New Roman" w:cs="Times New Roman"/>
          <w:sz w:val="24"/>
          <w:szCs w:val="24"/>
        </w:rPr>
      </w:pPr>
    </w:p>
    <w:p w:rsidR="000A6150" w:rsidRPr="000A6150" w:rsidRDefault="00554156" w:rsidP="000A6150">
      <w:pPr>
        <w:spacing w:line="276" w:lineRule="auto"/>
        <w:ind w:left="-851" w:right="-1135"/>
        <w:rPr>
          <w:rFonts w:ascii="Times New Roman" w:hAnsi="Times New Roman" w:cs="Times New Roman"/>
          <w:sz w:val="24"/>
          <w:szCs w:val="24"/>
        </w:rPr>
      </w:pPr>
      <w:r w:rsidRPr="000A6150">
        <w:rPr>
          <w:rFonts w:ascii="Times New Roman" w:hAnsi="Times New Roman" w:cs="Times New Roman"/>
          <w:sz w:val="24"/>
          <w:szCs w:val="24"/>
        </w:rPr>
        <w:lastRenderedPageBreak/>
        <w:t>Veja os resultados da UNIRIO:</w:t>
      </w:r>
    </w:p>
    <w:p w:rsidR="000A6150" w:rsidRDefault="00554156" w:rsidP="000A6150">
      <w:pPr>
        <w:spacing w:line="276" w:lineRule="auto"/>
        <w:ind w:left="-851" w:right="-1135"/>
        <w:jc w:val="center"/>
        <w:rPr>
          <w:rFonts w:ascii="Times New Roman" w:hAnsi="Times New Roman" w:cs="Times New Roman"/>
          <w:sz w:val="24"/>
          <w:szCs w:val="24"/>
        </w:rPr>
      </w:pPr>
      <w:r w:rsidRPr="000A6150">
        <w:rPr>
          <w:rFonts w:ascii="Times New Roman" w:hAnsi="Times New Roman" w:cs="Times New Roman"/>
          <w:b/>
          <w:sz w:val="24"/>
          <w:szCs w:val="24"/>
        </w:rPr>
        <w:t>Resultado ENADE 2015 publicado em 2017</w:t>
      </w:r>
    </w:p>
    <w:tbl>
      <w:tblPr>
        <w:tblStyle w:val="Tabelacomgrade"/>
        <w:tblW w:w="10704" w:type="dxa"/>
        <w:tblInd w:w="-851" w:type="dxa"/>
        <w:tblLook w:val="04A0"/>
      </w:tblPr>
      <w:tblGrid>
        <w:gridCol w:w="2802"/>
        <w:gridCol w:w="1276"/>
        <w:gridCol w:w="1701"/>
        <w:gridCol w:w="1134"/>
        <w:gridCol w:w="992"/>
        <w:gridCol w:w="1275"/>
        <w:gridCol w:w="1524"/>
      </w:tblGrid>
      <w:tr w:rsidR="000A6150" w:rsidTr="000A6150">
        <w:trPr>
          <w:trHeight w:val="327"/>
        </w:trPr>
        <w:tc>
          <w:tcPr>
            <w:tcW w:w="2802"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CURSOS</w:t>
            </w:r>
          </w:p>
        </w:tc>
        <w:tc>
          <w:tcPr>
            <w:tcW w:w="1276"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INSCRITOS</w:t>
            </w:r>
          </w:p>
        </w:tc>
        <w:tc>
          <w:tcPr>
            <w:tcW w:w="1701"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PARTICIPANTES</w:t>
            </w:r>
          </w:p>
        </w:tc>
        <w:tc>
          <w:tcPr>
            <w:tcW w:w="1134"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Conceito</w:t>
            </w:r>
          </w:p>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ENADE</w:t>
            </w:r>
          </w:p>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(Contínuo)</w:t>
            </w:r>
          </w:p>
        </w:tc>
        <w:tc>
          <w:tcPr>
            <w:tcW w:w="992"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Conceito</w:t>
            </w:r>
          </w:p>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ENADE</w:t>
            </w:r>
          </w:p>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(Faixa)</w:t>
            </w:r>
          </w:p>
        </w:tc>
        <w:tc>
          <w:tcPr>
            <w:tcW w:w="1275"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CPC</w:t>
            </w:r>
          </w:p>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(Contínuo)</w:t>
            </w:r>
          </w:p>
        </w:tc>
        <w:tc>
          <w:tcPr>
            <w:tcW w:w="1524" w:type="dxa"/>
            <w:vAlign w:val="center"/>
          </w:tcPr>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CPC</w:t>
            </w:r>
          </w:p>
          <w:p w:rsidR="000A6150" w:rsidRPr="000A6150" w:rsidRDefault="000A6150" w:rsidP="000A6150">
            <w:pPr>
              <w:spacing w:line="276" w:lineRule="auto"/>
              <w:ind w:right="-1135"/>
              <w:rPr>
                <w:rFonts w:ascii="Times New Roman" w:hAnsi="Times New Roman" w:cs="Times New Roman"/>
                <w:b/>
                <w:sz w:val="20"/>
                <w:szCs w:val="20"/>
              </w:rPr>
            </w:pPr>
            <w:r w:rsidRPr="000A6150">
              <w:rPr>
                <w:rFonts w:ascii="Times New Roman" w:hAnsi="Times New Roman" w:cs="Times New Roman"/>
                <w:b/>
                <w:sz w:val="20"/>
                <w:szCs w:val="20"/>
              </w:rPr>
              <w:t>(Faixa)</w:t>
            </w:r>
          </w:p>
        </w:tc>
      </w:tr>
      <w:tr w:rsidR="000A6150" w:rsidTr="000A6150">
        <w:trPr>
          <w:trHeight w:val="554"/>
        </w:trPr>
        <w:tc>
          <w:tcPr>
            <w:tcW w:w="2802" w:type="dxa"/>
          </w:tcPr>
          <w:p w:rsid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 xml:space="preserve">ADMINISTRAÇÃO PÚBLICA </w:t>
            </w:r>
          </w:p>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(BACHARELADO)</w:t>
            </w:r>
          </w:p>
        </w:tc>
        <w:tc>
          <w:tcPr>
            <w:tcW w:w="1276" w:type="dxa"/>
            <w:vAlign w:val="center"/>
          </w:tcPr>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93</w:t>
            </w:r>
          </w:p>
        </w:tc>
        <w:tc>
          <w:tcPr>
            <w:tcW w:w="1701"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84</w:t>
            </w:r>
          </w:p>
        </w:tc>
        <w:tc>
          <w:tcPr>
            <w:tcW w:w="1134"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3,4978</w:t>
            </w:r>
          </w:p>
        </w:tc>
        <w:tc>
          <w:tcPr>
            <w:tcW w:w="992" w:type="dxa"/>
            <w:vAlign w:val="center"/>
          </w:tcPr>
          <w:p w:rsidR="000A6150" w:rsidRPr="000A6150" w:rsidRDefault="000A6150" w:rsidP="000A6150">
            <w:pPr>
              <w:spacing w:line="276" w:lineRule="auto"/>
              <w:ind w:right="-1135"/>
              <w:rPr>
                <w:rFonts w:ascii="Times New Roman" w:hAnsi="Times New Roman" w:cs="Times New Roman"/>
                <w:sz w:val="20"/>
                <w:szCs w:val="20"/>
              </w:rPr>
            </w:pPr>
            <w:proofErr w:type="gramStart"/>
            <w:r>
              <w:rPr>
                <w:rFonts w:ascii="Times New Roman" w:hAnsi="Times New Roman" w:cs="Times New Roman"/>
                <w:sz w:val="20"/>
                <w:szCs w:val="20"/>
              </w:rPr>
              <w:t>4</w:t>
            </w:r>
            <w:proofErr w:type="gramEnd"/>
          </w:p>
        </w:tc>
        <w:tc>
          <w:tcPr>
            <w:tcW w:w="1275"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2,8334</w:t>
            </w:r>
          </w:p>
        </w:tc>
        <w:tc>
          <w:tcPr>
            <w:tcW w:w="1524" w:type="dxa"/>
            <w:vAlign w:val="center"/>
          </w:tcPr>
          <w:p w:rsidR="000A6150" w:rsidRPr="000A6150" w:rsidRDefault="000A6150" w:rsidP="000A6150">
            <w:pPr>
              <w:spacing w:line="276" w:lineRule="auto"/>
              <w:ind w:right="-1135"/>
              <w:rPr>
                <w:rFonts w:ascii="Times New Roman" w:hAnsi="Times New Roman" w:cs="Times New Roman"/>
                <w:sz w:val="20"/>
                <w:szCs w:val="20"/>
              </w:rPr>
            </w:pPr>
            <w:proofErr w:type="gramStart"/>
            <w:r>
              <w:rPr>
                <w:rFonts w:ascii="Times New Roman" w:hAnsi="Times New Roman" w:cs="Times New Roman"/>
                <w:sz w:val="20"/>
                <w:szCs w:val="20"/>
              </w:rPr>
              <w:t>3</w:t>
            </w:r>
            <w:proofErr w:type="gramEnd"/>
          </w:p>
        </w:tc>
      </w:tr>
      <w:tr w:rsidR="000A6150" w:rsidTr="000A6150">
        <w:trPr>
          <w:trHeight w:val="327"/>
        </w:trPr>
        <w:tc>
          <w:tcPr>
            <w:tcW w:w="2802" w:type="dxa"/>
          </w:tcPr>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DIREITO</w:t>
            </w:r>
          </w:p>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(BACHARELADO)</w:t>
            </w:r>
          </w:p>
        </w:tc>
        <w:tc>
          <w:tcPr>
            <w:tcW w:w="1276" w:type="dxa"/>
            <w:vAlign w:val="center"/>
          </w:tcPr>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71</w:t>
            </w:r>
          </w:p>
        </w:tc>
        <w:tc>
          <w:tcPr>
            <w:tcW w:w="1701"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51</w:t>
            </w:r>
          </w:p>
        </w:tc>
        <w:tc>
          <w:tcPr>
            <w:tcW w:w="1134"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3,4978</w:t>
            </w:r>
          </w:p>
        </w:tc>
        <w:tc>
          <w:tcPr>
            <w:tcW w:w="992" w:type="dxa"/>
            <w:vAlign w:val="center"/>
          </w:tcPr>
          <w:p w:rsidR="000A6150" w:rsidRPr="000A6150" w:rsidRDefault="000A6150" w:rsidP="000A6150">
            <w:pPr>
              <w:spacing w:line="276" w:lineRule="auto"/>
              <w:ind w:right="-1135"/>
              <w:rPr>
                <w:rFonts w:ascii="Times New Roman" w:hAnsi="Times New Roman" w:cs="Times New Roman"/>
                <w:sz w:val="20"/>
                <w:szCs w:val="20"/>
              </w:rPr>
            </w:pPr>
            <w:proofErr w:type="gramStart"/>
            <w:r>
              <w:rPr>
                <w:rFonts w:ascii="Times New Roman" w:hAnsi="Times New Roman" w:cs="Times New Roman"/>
                <w:sz w:val="20"/>
                <w:szCs w:val="20"/>
              </w:rPr>
              <w:t>4</w:t>
            </w:r>
            <w:proofErr w:type="gramEnd"/>
          </w:p>
        </w:tc>
        <w:tc>
          <w:tcPr>
            <w:tcW w:w="1275"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2,4817</w:t>
            </w:r>
          </w:p>
        </w:tc>
        <w:tc>
          <w:tcPr>
            <w:tcW w:w="1524" w:type="dxa"/>
            <w:vAlign w:val="center"/>
          </w:tcPr>
          <w:p w:rsidR="000A6150" w:rsidRPr="000A6150" w:rsidRDefault="000A6150" w:rsidP="000A6150">
            <w:pPr>
              <w:spacing w:line="276" w:lineRule="auto"/>
              <w:ind w:right="-1135"/>
              <w:rPr>
                <w:rFonts w:ascii="Times New Roman" w:hAnsi="Times New Roman" w:cs="Times New Roman"/>
                <w:sz w:val="20"/>
                <w:szCs w:val="20"/>
              </w:rPr>
            </w:pPr>
            <w:proofErr w:type="gramStart"/>
            <w:r>
              <w:rPr>
                <w:rFonts w:ascii="Times New Roman" w:hAnsi="Times New Roman" w:cs="Times New Roman"/>
                <w:sz w:val="20"/>
                <w:szCs w:val="20"/>
              </w:rPr>
              <w:t>3</w:t>
            </w:r>
            <w:proofErr w:type="gramEnd"/>
          </w:p>
        </w:tc>
      </w:tr>
      <w:tr w:rsidR="000A6150" w:rsidTr="000A6150">
        <w:trPr>
          <w:trHeight w:val="327"/>
        </w:trPr>
        <w:tc>
          <w:tcPr>
            <w:tcW w:w="2802" w:type="dxa"/>
          </w:tcPr>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TURISMO</w:t>
            </w:r>
          </w:p>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(BACHARELADO)</w:t>
            </w:r>
          </w:p>
        </w:tc>
        <w:tc>
          <w:tcPr>
            <w:tcW w:w="1276" w:type="dxa"/>
            <w:vAlign w:val="center"/>
          </w:tcPr>
          <w:p w:rsidR="000A6150" w:rsidRPr="000A6150" w:rsidRDefault="000A6150" w:rsidP="000A6150">
            <w:pPr>
              <w:spacing w:line="276" w:lineRule="auto"/>
              <w:ind w:right="-1135"/>
              <w:rPr>
                <w:rFonts w:ascii="Times New Roman" w:hAnsi="Times New Roman" w:cs="Times New Roman"/>
                <w:sz w:val="20"/>
                <w:szCs w:val="20"/>
              </w:rPr>
            </w:pPr>
            <w:r w:rsidRPr="000A6150">
              <w:rPr>
                <w:rFonts w:ascii="Times New Roman" w:hAnsi="Times New Roman" w:cs="Times New Roman"/>
                <w:sz w:val="20"/>
                <w:szCs w:val="20"/>
              </w:rPr>
              <w:t>70</w:t>
            </w:r>
          </w:p>
        </w:tc>
        <w:tc>
          <w:tcPr>
            <w:tcW w:w="1701"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62</w:t>
            </w:r>
          </w:p>
        </w:tc>
        <w:tc>
          <w:tcPr>
            <w:tcW w:w="1134"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3,2137</w:t>
            </w:r>
          </w:p>
        </w:tc>
        <w:tc>
          <w:tcPr>
            <w:tcW w:w="992" w:type="dxa"/>
            <w:vAlign w:val="center"/>
          </w:tcPr>
          <w:p w:rsidR="000A6150" w:rsidRPr="000A6150" w:rsidRDefault="000A6150" w:rsidP="000A6150">
            <w:pPr>
              <w:spacing w:line="276" w:lineRule="auto"/>
              <w:ind w:right="-1135"/>
              <w:rPr>
                <w:rFonts w:ascii="Times New Roman" w:hAnsi="Times New Roman" w:cs="Times New Roman"/>
                <w:sz w:val="20"/>
                <w:szCs w:val="20"/>
              </w:rPr>
            </w:pPr>
            <w:proofErr w:type="gramStart"/>
            <w:r>
              <w:rPr>
                <w:rFonts w:ascii="Times New Roman" w:hAnsi="Times New Roman" w:cs="Times New Roman"/>
                <w:sz w:val="20"/>
                <w:szCs w:val="20"/>
              </w:rPr>
              <w:t>4</w:t>
            </w:r>
            <w:proofErr w:type="gramEnd"/>
          </w:p>
        </w:tc>
        <w:tc>
          <w:tcPr>
            <w:tcW w:w="1275" w:type="dxa"/>
            <w:vAlign w:val="center"/>
          </w:tcPr>
          <w:p w:rsidR="000A6150" w:rsidRPr="000A6150" w:rsidRDefault="000A6150" w:rsidP="000A6150">
            <w:pPr>
              <w:spacing w:line="276" w:lineRule="auto"/>
              <w:ind w:right="-1135"/>
              <w:rPr>
                <w:rFonts w:ascii="Times New Roman" w:hAnsi="Times New Roman" w:cs="Times New Roman"/>
                <w:sz w:val="20"/>
                <w:szCs w:val="20"/>
              </w:rPr>
            </w:pPr>
            <w:r>
              <w:rPr>
                <w:rFonts w:ascii="Times New Roman" w:hAnsi="Times New Roman" w:cs="Times New Roman"/>
                <w:sz w:val="20"/>
                <w:szCs w:val="20"/>
              </w:rPr>
              <w:t>3,0102</w:t>
            </w:r>
          </w:p>
        </w:tc>
        <w:tc>
          <w:tcPr>
            <w:tcW w:w="1524" w:type="dxa"/>
            <w:vAlign w:val="center"/>
          </w:tcPr>
          <w:p w:rsidR="000A6150" w:rsidRPr="000A6150" w:rsidRDefault="000A6150" w:rsidP="000A6150">
            <w:pPr>
              <w:spacing w:line="276" w:lineRule="auto"/>
              <w:ind w:right="-1135"/>
              <w:rPr>
                <w:rFonts w:ascii="Times New Roman" w:hAnsi="Times New Roman" w:cs="Times New Roman"/>
                <w:sz w:val="20"/>
                <w:szCs w:val="20"/>
              </w:rPr>
            </w:pPr>
            <w:proofErr w:type="gramStart"/>
            <w:r>
              <w:rPr>
                <w:rFonts w:ascii="Times New Roman" w:hAnsi="Times New Roman" w:cs="Times New Roman"/>
                <w:sz w:val="20"/>
                <w:szCs w:val="20"/>
              </w:rPr>
              <w:t>4</w:t>
            </w:r>
            <w:proofErr w:type="gramEnd"/>
          </w:p>
        </w:tc>
      </w:tr>
    </w:tbl>
    <w:p w:rsidR="000A6150" w:rsidRDefault="000A6150" w:rsidP="000A6150">
      <w:pPr>
        <w:spacing w:line="276" w:lineRule="auto"/>
        <w:ind w:left="-851" w:right="-1135"/>
        <w:rPr>
          <w:rFonts w:ascii="Times New Roman" w:hAnsi="Times New Roman" w:cs="Times New Roman"/>
          <w:sz w:val="24"/>
          <w:szCs w:val="24"/>
        </w:rPr>
      </w:pPr>
      <w:r w:rsidRPr="000A6150">
        <w:rPr>
          <w:rFonts w:ascii="Times New Roman" w:hAnsi="Times New Roman" w:cs="Times New Roman"/>
          <w:sz w:val="24"/>
          <w:szCs w:val="24"/>
        </w:rPr>
        <w:t xml:space="preserve">Fonte: Portaria INEP nº 209, de 07/03/2017, publicada no </w:t>
      </w:r>
      <w:proofErr w:type="spellStart"/>
      <w:proofErr w:type="gramStart"/>
      <w:r w:rsidRPr="000A6150">
        <w:rPr>
          <w:rFonts w:ascii="Times New Roman" w:hAnsi="Times New Roman" w:cs="Times New Roman"/>
          <w:sz w:val="24"/>
          <w:szCs w:val="24"/>
        </w:rPr>
        <w:t>D.O.</w:t>
      </w:r>
      <w:proofErr w:type="spellEnd"/>
      <w:proofErr w:type="gramEnd"/>
      <w:r w:rsidRPr="000A6150">
        <w:rPr>
          <w:rFonts w:ascii="Times New Roman" w:hAnsi="Times New Roman" w:cs="Times New Roman"/>
          <w:sz w:val="24"/>
          <w:szCs w:val="24"/>
        </w:rPr>
        <w:t>U nº 46, p. 19-51, Seção 1, 08/03/2017.</w:t>
      </w:r>
    </w:p>
    <w:p w:rsidR="00E10779" w:rsidRDefault="00E10779" w:rsidP="00C96C4F">
      <w:pPr>
        <w:pStyle w:val="NormalWeb"/>
        <w:spacing w:before="360" w:beforeAutospacing="0" w:after="360" w:afterAutospacing="0" w:line="276" w:lineRule="auto"/>
        <w:ind w:left="-851" w:right="-1135" w:firstLine="851"/>
        <w:jc w:val="both"/>
        <w:rPr>
          <w:color w:val="000000"/>
        </w:rPr>
      </w:pPr>
      <w:r w:rsidRPr="000A6150">
        <w:rPr>
          <w:color w:val="000000"/>
        </w:rPr>
        <w:t>O</w:t>
      </w:r>
      <w:r w:rsidRPr="000A6150">
        <w:rPr>
          <w:rStyle w:val="apple-converted-space"/>
          <w:color w:val="000000"/>
        </w:rPr>
        <w:t> </w:t>
      </w:r>
      <w:r w:rsidRPr="000A6150">
        <w:rPr>
          <w:rStyle w:val="Forte"/>
          <w:color w:val="000000"/>
        </w:rPr>
        <w:t>Índice Geral de Cursos Avaliados da Instituição (IGC)</w:t>
      </w:r>
      <w:r w:rsidRPr="000A6150">
        <w:rPr>
          <w:rStyle w:val="apple-converted-space"/>
          <w:color w:val="000000"/>
        </w:rPr>
        <w:t> </w:t>
      </w:r>
      <w:r w:rsidRPr="000A6150">
        <w:rPr>
          <w:color w:val="000000"/>
        </w:rPr>
        <w:t xml:space="preserve">é calculado por IES e considera a média dos CPC dos cursos avaliados da instituição, no triênio de referência, ponderada pelo número de matrículas, além da média dos conceitos da avaliação trienal da Capes dos programas de pós-graduação stricto sensu, ponderada pelo número de matrículas. Para instituições sem programas de pós-graduação stricto sensu avaliados pela Capes, o IGC é a média ponderada dos CPC de seus cursos de graduação. Em 2015; 0,4% das IES obtiveram conceito </w:t>
      </w:r>
      <w:proofErr w:type="gramStart"/>
      <w:r w:rsidRPr="000A6150">
        <w:rPr>
          <w:color w:val="000000"/>
        </w:rPr>
        <w:t>1</w:t>
      </w:r>
      <w:proofErr w:type="gramEnd"/>
      <w:r w:rsidRPr="000A6150">
        <w:rPr>
          <w:color w:val="000000"/>
        </w:rPr>
        <w:t>; 4%, conceito 2; 67%, conceito 3; 16,6%, conceito 4 e 1,1 conceito 5.</w:t>
      </w:r>
    </w:p>
    <w:p w:rsidR="00C96C4F" w:rsidRPr="000A6150" w:rsidRDefault="00C96C4F" w:rsidP="00C96C4F">
      <w:pPr>
        <w:pStyle w:val="NormalWeb"/>
        <w:spacing w:before="360" w:beforeAutospacing="0" w:after="360" w:afterAutospacing="0" w:line="276" w:lineRule="auto"/>
        <w:ind w:left="-851" w:right="-1135" w:firstLine="851"/>
        <w:jc w:val="center"/>
        <w:rPr>
          <w:color w:val="000000"/>
        </w:rPr>
      </w:pPr>
      <w:r w:rsidRPr="000A6150">
        <w:rPr>
          <w:color w:val="000000"/>
        </w:rPr>
        <w:t>Notas Técnicas com as metodologias utilizadas para os cálculos em 2015</w:t>
      </w:r>
      <w:r>
        <w:rPr>
          <w:color w:val="000000"/>
        </w:rPr>
        <w:t>:</w:t>
      </w:r>
    </w:p>
    <w:p w:rsidR="00E10779" w:rsidRPr="000A6150" w:rsidRDefault="00D7180E" w:rsidP="000A6150">
      <w:pPr>
        <w:spacing w:after="0" w:line="276" w:lineRule="auto"/>
        <w:ind w:left="-851" w:right="-1135"/>
        <w:jc w:val="both"/>
        <w:rPr>
          <w:rFonts w:ascii="Times New Roman" w:eastAsia="Times New Roman" w:hAnsi="Times New Roman" w:cs="Times New Roman"/>
          <w:sz w:val="24"/>
          <w:szCs w:val="24"/>
          <w:lang w:eastAsia="pt-BR"/>
        </w:rPr>
      </w:pPr>
      <w:r w:rsidRPr="000A6150">
        <w:rPr>
          <w:rFonts w:ascii="Times New Roman" w:hAnsi="Times New Roman" w:cs="Times New Roman"/>
          <w:sz w:val="24"/>
          <w:szCs w:val="24"/>
        </w:rPr>
        <w:fldChar w:fldCharType="begin"/>
      </w:r>
      <w:r w:rsidRPr="000A6150">
        <w:rPr>
          <w:rFonts w:ascii="Times New Roman" w:hAnsi="Times New Roman" w:cs="Times New Roman"/>
          <w:sz w:val="24"/>
          <w:szCs w:val="24"/>
        </w:rPr>
        <w:instrText>HYPERLINK "http://download.inep.gov.br/educacao_superior/enade/notas_tecnicas/2015/nota_tecnica_daes_n42017_calculo_do_igc2015.pdf" \t "_blank"</w:instrText>
      </w:r>
      <w:r w:rsidRPr="000A6150">
        <w:rPr>
          <w:rFonts w:ascii="Times New Roman" w:hAnsi="Times New Roman" w:cs="Times New Roman"/>
          <w:sz w:val="24"/>
          <w:szCs w:val="24"/>
        </w:rPr>
        <w:fldChar w:fldCharType="separate"/>
      </w:r>
      <w:r w:rsidR="00E10779" w:rsidRPr="000A6150">
        <w:rPr>
          <w:rFonts w:ascii="Times New Roman" w:eastAsia="Times New Roman" w:hAnsi="Times New Roman" w:cs="Times New Roman"/>
          <w:b/>
          <w:bCs/>
          <w:sz w:val="24"/>
          <w:szCs w:val="24"/>
          <w:lang w:eastAsia="pt-BR"/>
        </w:rPr>
        <w:t>Nota Técnica - Cálculo do Índice Geral de Cursos Avaliados da Instituição (IGC) 2015</w:t>
      </w:r>
      <w:r w:rsidRPr="000A6150">
        <w:rPr>
          <w:rFonts w:ascii="Times New Roman" w:hAnsi="Times New Roman" w:cs="Times New Roman"/>
          <w:sz w:val="24"/>
          <w:szCs w:val="24"/>
        </w:rPr>
        <w:fldChar w:fldCharType="end"/>
      </w:r>
    </w:p>
    <w:p w:rsidR="00E10779" w:rsidRPr="000A6150" w:rsidRDefault="00E10779" w:rsidP="000A6150">
      <w:pPr>
        <w:spacing w:after="0" w:line="276" w:lineRule="auto"/>
        <w:ind w:left="-851" w:right="-1135"/>
        <w:jc w:val="both"/>
        <w:rPr>
          <w:rFonts w:ascii="Times New Roman" w:eastAsia="Times New Roman" w:hAnsi="Times New Roman" w:cs="Times New Roman"/>
          <w:color w:val="000000"/>
          <w:sz w:val="24"/>
          <w:szCs w:val="24"/>
          <w:lang w:eastAsia="pt-BR"/>
        </w:rPr>
      </w:pPr>
      <w:r w:rsidRPr="000A6150">
        <w:rPr>
          <w:rFonts w:ascii="Times New Roman" w:eastAsia="Times New Roman" w:hAnsi="Times New Roman" w:cs="Times New Roman"/>
          <w:color w:val="000000"/>
          <w:sz w:val="24"/>
          <w:szCs w:val="24"/>
          <w:lang w:eastAsia="pt-BR"/>
        </w:rPr>
        <w:t>http://download.inep.gov.br/educacao_superior/enade/notas_tecnicas/2015/nota_tecnica_daes_n42017_calculo_do_igc2015.pdf</w:t>
      </w:r>
    </w:p>
    <w:p w:rsidR="00651DB1" w:rsidRPr="000A6150" w:rsidRDefault="00651DB1" w:rsidP="000A6150">
      <w:pPr>
        <w:spacing w:line="276" w:lineRule="auto"/>
        <w:ind w:left="-851" w:right="-1135"/>
        <w:rPr>
          <w:rFonts w:ascii="Times New Roman" w:hAnsi="Times New Roman" w:cs="Times New Roman"/>
          <w:sz w:val="24"/>
          <w:szCs w:val="24"/>
        </w:rPr>
      </w:pPr>
    </w:p>
    <w:p w:rsidR="00554156" w:rsidRPr="000A6150" w:rsidRDefault="00554156" w:rsidP="000A6150">
      <w:pPr>
        <w:spacing w:line="276" w:lineRule="auto"/>
        <w:ind w:left="-851" w:right="-1135"/>
        <w:rPr>
          <w:rFonts w:ascii="Times New Roman" w:hAnsi="Times New Roman" w:cs="Times New Roman"/>
          <w:b/>
          <w:sz w:val="24"/>
          <w:szCs w:val="24"/>
        </w:rPr>
      </w:pPr>
      <w:r w:rsidRPr="000A6150">
        <w:rPr>
          <w:rFonts w:ascii="Times New Roman" w:hAnsi="Times New Roman" w:cs="Times New Roman"/>
          <w:b/>
          <w:sz w:val="24"/>
          <w:szCs w:val="24"/>
        </w:rPr>
        <w:t xml:space="preserve">A UNIRIO obteve conceito </w:t>
      </w:r>
      <w:proofErr w:type="gramStart"/>
      <w:r w:rsidRPr="000A6150">
        <w:rPr>
          <w:rFonts w:ascii="Times New Roman" w:hAnsi="Times New Roman" w:cs="Times New Roman"/>
          <w:b/>
          <w:sz w:val="24"/>
          <w:szCs w:val="24"/>
        </w:rPr>
        <w:t>4</w:t>
      </w:r>
      <w:proofErr w:type="gramEnd"/>
      <w:r w:rsidRPr="000A6150">
        <w:rPr>
          <w:rFonts w:ascii="Times New Roman" w:hAnsi="Times New Roman" w:cs="Times New Roman"/>
          <w:b/>
          <w:sz w:val="24"/>
          <w:szCs w:val="24"/>
        </w:rPr>
        <w:t xml:space="preserve"> no IGC.</w:t>
      </w:r>
    </w:p>
    <w:p w:rsidR="00554156" w:rsidRPr="000A6150" w:rsidRDefault="00554156" w:rsidP="000A6150">
      <w:pPr>
        <w:spacing w:line="276" w:lineRule="auto"/>
        <w:ind w:left="-851" w:right="-1135"/>
        <w:rPr>
          <w:rFonts w:ascii="Times New Roman" w:hAnsi="Times New Roman" w:cs="Times New Roman"/>
          <w:b/>
          <w:sz w:val="24"/>
          <w:szCs w:val="24"/>
        </w:rPr>
      </w:pPr>
    </w:p>
    <w:p w:rsidR="005A0F78" w:rsidRPr="000A6150" w:rsidRDefault="00554156" w:rsidP="000A6150">
      <w:pPr>
        <w:spacing w:line="276" w:lineRule="auto"/>
        <w:ind w:left="-851" w:right="-1135"/>
        <w:rPr>
          <w:rFonts w:ascii="Times New Roman" w:hAnsi="Times New Roman" w:cs="Times New Roman"/>
          <w:sz w:val="24"/>
          <w:szCs w:val="24"/>
        </w:rPr>
      </w:pPr>
      <w:r w:rsidRPr="000A6150">
        <w:rPr>
          <w:rFonts w:ascii="Times New Roman" w:hAnsi="Times New Roman" w:cs="Times New Roman"/>
          <w:sz w:val="24"/>
          <w:szCs w:val="24"/>
        </w:rPr>
        <w:t>Fonte: DAINF/PROPLAN</w:t>
      </w:r>
      <w:r w:rsidR="00266CCA" w:rsidRPr="000A6150">
        <w:rPr>
          <w:rFonts w:ascii="Times New Roman" w:hAnsi="Times New Roman" w:cs="Times New Roman"/>
          <w:sz w:val="24"/>
          <w:szCs w:val="24"/>
        </w:rPr>
        <w:t>, 2016.</w:t>
      </w:r>
      <w:bookmarkStart w:id="0" w:name="_GoBack"/>
      <w:bookmarkEnd w:id="0"/>
    </w:p>
    <w:sectPr w:rsidR="005A0F78" w:rsidRPr="000A6150" w:rsidSect="00D718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3133"/>
    <w:multiLevelType w:val="multilevel"/>
    <w:tmpl w:val="731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779"/>
    <w:rsid w:val="000A6150"/>
    <w:rsid w:val="00266CCA"/>
    <w:rsid w:val="005020B0"/>
    <w:rsid w:val="00554156"/>
    <w:rsid w:val="005A0F78"/>
    <w:rsid w:val="00651DB1"/>
    <w:rsid w:val="0067543B"/>
    <w:rsid w:val="00913E78"/>
    <w:rsid w:val="00A61BF1"/>
    <w:rsid w:val="00B821E8"/>
    <w:rsid w:val="00C96C4F"/>
    <w:rsid w:val="00D7180E"/>
    <w:rsid w:val="00E107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107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10779"/>
  </w:style>
  <w:style w:type="character" w:styleId="Forte">
    <w:name w:val="Strong"/>
    <w:basedOn w:val="Fontepargpadro"/>
    <w:uiPriority w:val="22"/>
    <w:qFormat/>
    <w:rsid w:val="00E10779"/>
    <w:rPr>
      <w:b/>
      <w:bCs/>
    </w:rPr>
  </w:style>
  <w:style w:type="character" w:styleId="Hyperlink">
    <w:name w:val="Hyperlink"/>
    <w:basedOn w:val="Fontepargpadro"/>
    <w:uiPriority w:val="99"/>
    <w:unhideWhenUsed/>
    <w:rsid w:val="00E10779"/>
    <w:rPr>
      <w:color w:val="0000FF"/>
      <w:u w:val="single"/>
    </w:rPr>
  </w:style>
  <w:style w:type="table" w:styleId="Tabelacomgrade">
    <w:name w:val="Table Grid"/>
    <w:basedOn w:val="Tabelanormal"/>
    <w:uiPriority w:val="39"/>
    <w:rsid w:val="000A6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09940">
      <w:bodyDiv w:val="1"/>
      <w:marLeft w:val="0"/>
      <w:marRight w:val="0"/>
      <w:marTop w:val="0"/>
      <w:marBottom w:val="0"/>
      <w:divBdr>
        <w:top w:val="none" w:sz="0" w:space="0" w:color="auto"/>
        <w:left w:val="none" w:sz="0" w:space="0" w:color="auto"/>
        <w:bottom w:val="none" w:sz="0" w:space="0" w:color="auto"/>
        <w:right w:val="none" w:sz="0" w:space="0" w:color="auto"/>
      </w:divBdr>
    </w:div>
    <w:div w:id="245264444">
      <w:bodyDiv w:val="1"/>
      <w:marLeft w:val="0"/>
      <w:marRight w:val="0"/>
      <w:marTop w:val="0"/>
      <w:marBottom w:val="0"/>
      <w:divBdr>
        <w:top w:val="none" w:sz="0" w:space="0" w:color="auto"/>
        <w:left w:val="none" w:sz="0" w:space="0" w:color="auto"/>
        <w:bottom w:val="none" w:sz="0" w:space="0" w:color="auto"/>
        <w:right w:val="none" w:sz="0" w:space="0" w:color="auto"/>
      </w:divBdr>
    </w:div>
    <w:div w:id="15690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inep.gov.br/educacao_superior/enade/notas_tecnicas/2015/nota_tecnica_daes_n32017_calculo_do_cpc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inep.gov.br/educacao_superior/enade/notas_tecnicas/2015/nota_tecnica_daes_n22017_calculo_do_conceito_enade2015.pdf" TargetMode="External"/><Relationship Id="rId5" Type="http://schemas.openxmlformats.org/officeDocument/2006/relationships/hyperlink" Target="http://download.inep.gov.br/educacao_superior/enade/notas_tecnicas/2015/nota_tecnica_daes_n22017_calculo_do_conceito_enade20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751</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Luiz Cavalcanti de Miranda</dc:creator>
  <cp:keywords/>
  <dc:description/>
  <cp:lastModifiedBy>suene.castro</cp:lastModifiedBy>
  <cp:revision>6</cp:revision>
  <dcterms:created xsi:type="dcterms:W3CDTF">2017-03-09T19:05:00Z</dcterms:created>
  <dcterms:modified xsi:type="dcterms:W3CDTF">2017-03-24T22:20:00Z</dcterms:modified>
</cp:coreProperties>
</file>