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II</w:t>
            </w:r>
          </w:p>
        </w:tc>
        <w:tc>
          <w:tcPr>
            <w:tcBorders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II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AEM0137</w:t>
            </w:r>
          </w:p>
        </w:tc>
        <w:tc>
          <w:tcPr>
            <w:gridSpan w:val="3"/>
            <w:tcBorders>
              <w:left w:color="ffffff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60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ARJ 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Desenvolver a capacidade de criar arranjos musicais para diferentes formações e estilos da música popular brasileira de maneira criativa e com personalidade artística.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Análise, pesquisa, audição, seminários e laboratórios de prática instrumental / vocal.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Técnicas avançadas de harmonização em bloco.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Escrita para os naipes de saxofones, madeiras e metais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(elaboração de arranjo original)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rUWLt3bUsUT9GGB6B48IK5lKQ==">CgMxLjA4AHIhMVBPVGlxOUNkX0NxdG9Nb2QzUW11VGk4ZW1POE5PSUtL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