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  <w:t xml:space="preserve">Rio de Janeiro, 12 de junho 2025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Ata da Reunião Ordinária do Colegiado do Instituto Villa-Lobos, realizada aos onze dias  do mês de abril de dois mil e vinte e quatro, às 9h30 de forma presencial, na sala 2-305, no Instituto Villa Lobos. Foi presidida pelo professor e diretor  Marcelo Carneiro de Lima, estando presentes os e as docentes Andrea Silverio </w:t>
      </w:r>
      <w:r w:rsidDel="00000000" w:rsidR="00000000" w:rsidRPr="00000000">
        <w:rPr>
          <w:highlight w:val="white"/>
          <w:rtl w:val="0"/>
        </w:rPr>
        <w:t xml:space="preserve">Adriana Miana de Faria, André Geiger, Ariane Petri, Claudia Caldeira, Clayton Vetromilla,</w:t>
      </w:r>
      <w:r w:rsidDel="00000000" w:rsidR="00000000" w:rsidRPr="00000000">
        <w:rPr>
          <w:color w:val="ff0000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Dhyan Toffolo, Erika Ribeiro, Fábio peixoto, Hugo Pilger, Ingrid Barancoski, Josimar Carneiro, Kayami Satomi, Laura Rónai, </w:t>
      </w:r>
      <w:r w:rsidDel="00000000" w:rsidR="00000000" w:rsidRPr="00000000">
        <w:rPr>
          <w:highlight w:val="white"/>
          <w:rtl w:val="0"/>
        </w:rPr>
        <w:t xml:space="preserve">Lucia Barrenechea</w:t>
      </w:r>
      <w:r w:rsidDel="00000000" w:rsidR="00000000" w:rsidRPr="00000000">
        <w:rPr>
          <w:highlight w:val="white"/>
          <w:rtl w:val="0"/>
        </w:rPr>
        <w:t xml:space="preserve">, Maico Lopes, Marina Rezende Spoladore,  Mônica Duarte, Paula Fauor, Sérgio Barrenechea. Pelos servidores técnico-administrativos estiveram presentes Sueli Oliveira. Pelos discentes não houve representante do Diretório Acadêmico Cláudio Santoro. O professor  Paulo Dantas encontra-se em licença para capacitação.  As/os demais docentes justificaram suas ausências. </w:t>
      </w:r>
      <w:r w:rsidDel="00000000" w:rsidR="00000000" w:rsidRPr="00000000">
        <w:rPr>
          <w:b w:val="1"/>
          <w:bCs w:val="1"/>
          <w:rtl w:val="0"/>
        </w:rPr>
        <w:t xml:space="preserve">O diretor Marcelo Carneiro abriu a 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reunião com pauta única referente ao Teste de  Habilidades Específicas  (THE): Discussão, deliberação e votação sobre: Modalidade: online, presencial ou híbrido, combinação de online/presencial.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Considerar: 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Avaliação real do preparo/conhecimento do candidato, acesso amplo e aspecto social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Procedimento criterioso (visando minimizar recursos)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Infraestrutura e de pessoal do IVL (CAEG: ajuda financeira não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garantida).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Dados/estatísticas para embasamento da discussão, acesso a compilações da coordenação (prof. Sérgio), dados de matriculados de todos os cursos desde 1998 obtidos na secretária do curso e  dados da CAEG em relação ao THE 2025. Foi aberta a deliberação.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Depois de longa discussão sem um consenso, ficou acordado que a votação aconteceria na próxima reunião do colegiado, que acontecerá no dia 10 do mês de julho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Sem mais a tratar a reunião foi encerrada às 12h.</w:t>
      </w:r>
    </w:p>
    <w:p w:rsidR="00000000" w:rsidDel="00000000" w:rsidP="00000000" w:rsidRDefault="00000000" w:rsidRPr="00000000" w14:paraId="00000010">
      <w:pPr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3855.0" w:type="dxa"/>
        <w:jc w:val="left"/>
        <w:tblInd w:w="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55"/>
        <w:tblGridChange w:id="0">
          <w:tblGrid>
            <w:gridCol w:w="38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Prof. Dr. Marcelo Carneiro de Lima</w:t>
            </w:r>
          </w:p>
          <w:p w:rsidR="00000000" w:rsidDel="00000000" w:rsidP="00000000" w:rsidRDefault="00000000" w:rsidRPr="00000000" w14:paraId="0000001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Diretor do Instituto Villa-Lobos</w:t>
            </w:r>
          </w:p>
          <w:p w:rsidR="00000000" w:rsidDel="00000000" w:rsidP="00000000" w:rsidRDefault="00000000" w:rsidRPr="00000000" w14:paraId="000000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Centro de Letras e Artes</w:t>
            </w:r>
          </w:p>
          <w:p w:rsidR="00000000" w:rsidDel="00000000" w:rsidP="00000000" w:rsidRDefault="00000000" w:rsidRPr="00000000" w14:paraId="0000001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UNIRIO</w:t>
            </w:r>
          </w:p>
          <w:p w:rsidR="00000000" w:rsidDel="00000000" w:rsidP="00000000" w:rsidRDefault="00000000" w:rsidRPr="00000000" w14:paraId="000000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SIAPE: 1448997</w:t>
            </w:r>
          </w:p>
        </w:tc>
      </w:tr>
    </w:tbl>
    <w:p w:rsidR="00000000" w:rsidDel="00000000" w:rsidP="00000000" w:rsidRDefault="00000000" w:rsidRPr="00000000" w14:paraId="00000019">
      <w:pPr>
        <w:rPr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80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ageBreakBefore w:val="0"/>
      <w:pBdr>
        <w:bottom w:color="000000" w:space="1" w:sz="8" w:val="single"/>
      </w:pBd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ageBreakBefore w:val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Instituto Villa-Lobos</w:t>
    </w:r>
  </w:p>
  <w:p w:rsidR="00000000" w:rsidDel="00000000" w:rsidP="00000000" w:rsidRDefault="00000000" w:rsidRPr="00000000" w14:paraId="0000001C">
    <w:pPr>
      <w:pageBreakBefore w:val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Av. Pasteur, 436 fundos – Urca – Rio de Janeiro – CEP : 22290-240</w:t>
    </w:r>
  </w:p>
  <w:p w:rsidR="00000000" w:rsidDel="00000000" w:rsidP="00000000" w:rsidRDefault="00000000" w:rsidRPr="00000000" w14:paraId="0000001D">
    <w:pPr>
      <w:pageBreakBefore w:val="0"/>
      <w:jc w:val="center"/>
      <w:rPr>
        <w:sz w:val="20"/>
        <w:szCs w:val="20"/>
      </w:rPr>
    </w:pPr>
    <w:hyperlink r:id="rId1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http://www.unirio.br/proreitorias/cla/ivl/instituto-villa-lobos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pageBreakBefore w:val="0"/>
      <w:jc w:val="center"/>
      <w:rPr>
        <w:sz w:val="20"/>
        <w:szCs w:val="20"/>
      </w:rPr>
    </w:pPr>
    <w:hyperlink r:id="rId2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direcao.ivl@unirio.br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pageBreakBefore w:val="0"/>
      <w:jc w:val="center"/>
      <w:rPr>
        <w:rFonts w:ascii="Calibri" w:cs="Calibri" w:eastAsia="Calibri" w:hAnsi="Calibri"/>
        <w:sz w:val="28"/>
        <w:szCs w:val="28"/>
      </w:rPr>
    </w:pPr>
    <w:r w:rsidDel="00000000" w:rsidR="00000000" w:rsidRPr="00000000">
      <w:rPr>
        <w:sz w:val="20"/>
        <w:szCs w:val="20"/>
        <w:rtl w:val="0"/>
      </w:rPr>
      <w:t xml:space="preserve">Tel.: 2542-3326 Fax : 2542-3311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ageBreakBefore w:val="0"/>
      <w:jc w:val="center"/>
      <w:rPr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ageBreakBefore w:val="0"/>
      <w:jc w:val="center"/>
      <w:rPr/>
    </w:pPr>
    <w:r w:rsidDel="00000000" w:rsidR="00000000" w:rsidRPr="00000000">
      <w:rPr/>
      <w:drawing>
        <wp:inline distB="114300" distT="114300" distL="114300" distR="114300">
          <wp:extent cx="681038" cy="67039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1038" cy="67039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pageBreakBefore w:val="0"/>
      <w:jc w:val="center"/>
      <w:rPr/>
    </w:pPr>
    <w:r w:rsidDel="00000000" w:rsidR="00000000" w:rsidRPr="00000000">
      <w:rPr>
        <w:rtl w:val="0"/>
      </w:rPr>
      <w:t xml:space="preserve">UNIVERSIDADE FEDERAL DO ESTADO DO RIO DE JANEIRO - UNIRIO</w:t>
    </w:r>
  </w:p>
  <w:p w:rsidR="00000000" w:rsidDel="00000000" w:rsidP="00000000" w:rsidRDefault="00000000" w:rsidRPr="00000000" w14:paraId="00000023">
    <w:pPr>
      <w:pageBreakBefore w:val="0"/>
      <w:jc w:val="center"/>
      <w:rPr/>
    </w:pPr>
    <w:r w:rsidDel="00000000" w:rsidR="00000000" w:rsidRPr="00000000">
      <w:rPr>
        <w:rtl w:val="0"/>
      </w:rPr>
      <w:t xml:space="preserve">CENTRO DE LETRAS E ARTES</w:t>
    </w:r>
  </w:p>
  <w:p w:rsidR="00000000" w:rsidDel="00000000" w:rsidP="00000000" w:rsidRDefault="00000000" w:rsidRPr="00000000" w14:paraId="00000024">
    <w:pPr>
      <w:pageBreakBefore w:val="0"/>
      <w:jc w:val="center"/>
      <w:rPr/>
    </w:pPr>
    <w:r w:rsidDel="00000000" w:rsidR="00000000" w:rsidRPr="00000000">
      <w:rPr>
        <w:rtl w:val="0"/>
      </w:rPr>
      <w:t xml:space="preserve">INSTITUTO VILLA-LOBOS</w:t>
    </w:r>
  </w:p>
  <w:p w:rsidR="00000000" w:rsidDel="00000000" w:rsidP="00000000" w:rsidRDefault="00000000" w:rsidRPr="00000000" w14:paraId="00000025">
    <w:pPr>
      <w:pageBreakBefore w:val="0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unirio.br/proreitorias/cla/ivl/instituto-villa-lobos" TargetMode="External"/><Relationship Id="rId2" Type="http://schemas.openxmlformats.org/officeDocument/2006/relationships/hyperlink" Target="mailto:direcao.ivl@unirio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