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C8" w:rsidRPr="002D07C8" w:rsidRDefault="00004480" w:rsidP="002D07C8">
      <w:pPr>
        <w:jc w:val="center"/>
        <w:rPr>
          <w:b/>
        </w:rPr>
      </w:pPr>
      <w:r w:rsidRPr="00004480">
        <w:rPr>
          <w:b/>
          <w:noProof/>
        </w:rPr>
        <w:drawing>
          <wp:anchor distT="0" distB="0" distL="114300" distR="114300" simplePos="0" relativeHeight="251659264" behindDoc="0" locked="0" layoutInCell="1" allowOverlap="1">
            <wp:simplePos x="0" y="0"/>
            <wp:positionH relativeFrom="column">
              <wp:posOffset>2152163</wp:posOffset>
            </wp:positionH>
            <wp:positionV relativeFrom="paragraph">
              <wp:align>top</wp:align>
            </wp:positionV>
            <wp:extent cx="867424" cy="867425"/>
            <wp:effectExtent l="0" t="0" r="4445" b="4445"/>
            <wp:wrapSquare wrapText="bothSides"/>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71855" cy="871855"/>
                    </a:xfrm>
                    <a:prstGeom prst="rect">
                      <a:avLst/>
                    </a:prstGeom>
                    <a:noFill/>
                  </pic:spPr>
                </pic:pic>
              </a:graphicData>
            </a:graphic>
          </wp:anchor>
        </w:drawing>
      </w:r>
    </w:p>
    <w:p w:rsidR="002D07C8" w:rsidRDefault="002D07C8" w:rsidP="002D07C8">
      <w:pPr>
        <w:jc w:val="center"/>
        <w:rPr>
          <w:b/>
        </w:rPr>
      </w:pPr>
    </w:p>
    <w:p w:rsidR="00004480" w:rsidRDefault="00004480" w:rsidP="002D07C8">
      <w:pPr>
        <w:jc w:val="center"/>
        <w:rPr>
          <w:b/>
        </w:rPr>
      </w:pPr>
    </w:p>
    <w:p w:rsidR="00004480" w:rsidRDefault="00004480" w:rsidP="002D07C8">
      <w:pPr>
        <w:jc w:val="center"/>
        <w:rPr>
          <w:b/>
        </w:rPr>
      </w:pPr>
    </w:p>
    <w:p w:rsidR="00004480" w:rsidRDefault="00004480" w:rsidP="002D07C8">
      <w:pPr>
        <w:jc w:val="center"/>
        <w:rPr>
          <w:b/>
        </w:rPr>
      </w:pPr>
    </w:p>
    <w:p w:rsidR="00004480" w:rsidRPr="002D07C8" w:rsidRDefault="00004480"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 xml:space="preserve">UNIVERSIDADE FEDERAL DO ESTADO DO RIO DE JANEIRO – UNIRIO </w:t>
      </w:r>
    </w:p>
    <w:p w:rsidR="002D07C8" w:rsidRPr="002D07C8" w:rsidRDefault="002D07C8" w:rsidP="002D07C8">
      <w:pPr>
        <w:jc w:val="center"/>
        <w:rPr>
          <w:b/>
        </w:rPr>
      </w:pPr>
      <w:r w:rsidRPr="002D07C8">
        <w:rPr>
          <w:b/>
        </w:rPr>
        <w:t xml:space="preserve">Centro de Ciências Jurídicas e Políticas – CCJP </w:t>
      </w:r>
    </w:p>
    <w:p w:rsidR="002D07C8" w:rsidRPr="002D07C8" w:rsidRDefault="002D07C8" w:rsidP="002D07C8">
      <w:pPr>
        <w:jc w:val="center"/>
        <w:rPr>
          <w:b/>
        </w:rPr>
      </w:pPr>
    </w:p>
    <w:p w:rsidR="002D07C8" w:rsidRPr="002D07C8" w:rsidRDefault="002D07C8" w:rsidP="002D07C8">
      <w:pPr>
        <w:jc w:val="center"/>
        <w:rPr>
          <w:b/>
        </w:rPr>
      </w:pPr>
      <w:r w:rsidRPr="002D07C8">
        <w:rPr>
          <w:b/>
        </w:rPr>
        <w:t>PROGRAMA DE PÓS - GRADUAÇÃO EM DIREITO E POLÍTICAS PÚBLICAS– PPGDPP</w:t>
      </w:r>
    </w:p>
    <w:p w:rsidR="002D07C8" w:rsidRPr="002D07C8" w:rsidRDefault="002D07C8" w:rsidP="002D07C8">
      <w:pPr>
        <w:jc w:val="center"/>
        <w:rPr>
          <w:b/>
        </w:rPr>
      </w:pPr>
      <w:r w:rsidRPr="002D07C8">
        <w:rPr>
          <w:b/>
        </w:rPr>
        <w:t>Mestrado em Direito e Políticas Públicas</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32479A" w:rsidP="002D07C8">
      <w:pPr>
        <w:jc w:val="center"/>
        <w:rPr>
          <w:b/>
        </w:rPr>
      </w:pPr>
      <w:r w:rsidRPr="002D07C8">
        <w:rPr>
          <w:b/>
        </w:rPr>
        <w:t>TRANSFERÊNCIA INTERNACIONAL DA UNIDADE DE PRONTO ATENDIMENTO (UPA)</w:t>
      </w:r>
      <w:r w:rsidR="002D07C8" w:rsidRPr="002D07C8">
        <w:rPr>
          <w:b/>
        </w:rPr>
        <w:t>:</w:t>
      </w:r>
    </w:p>
    <w:p w:rsidR="002D07C8" w:rsidRPr="002D07C8" w:rsidRDefault="002D07C8" w:rsidP="002D07C8">
      <w:pPr>
        <w:jc w:val="center"/>
        <w:rPr>
          <w:b/>
        </w:rPr>
      </w:pPr>
    </w:p>
    <w:p w:rsidR="002D07C8" w:rsidRPr="002D07C8" w:rsidRDefault="002D07C8" w:rsidP="002D07C8">
      <w:pPr>
        <w:jc w:val="center"/>
        <w:rPr>
          <w:b/>
        </w:rPr>
      </w:pPr>
      <w:r w:rsidRPr="002D07C8">
        <w:rPr>
          <w:b/>
        </w:rPr>
        <w:t>O ESTADO DO RIO DE JANEIRO E A PROVÍNCIA DE BUENOS AIRES EM PERSPECTIVA COMPARADA</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VINICIUS SILVA DOS SANTOS</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RIO DE JANEIRO</w:t>
      </w:r>
    </w:p>
    <w:p w:rsidR="002D07C8" w:rsidRPr="002D07C8" w:rsidRDefault="002D07C8" w:rsidP="002D07C8">
      <w:pPr>
        <w:jc w:val="center"/>
        <w:rPr>
          <w:b/>
        </w:rPr>
      </w:pPr>
      <w:r w:rsidRPr="002D07C8">
        <w:rPr>
          <w:b/>
        </w:rPr>
        <w:t>2017</w:t>
      </w:r>
    </w:p>
    <w:p w:rsidR="002D07C8" w:rsidRPr="002D07C8" w:rsidRDefault="002D07C8" w:rsidP="002D07C8">
      <w:pPr>
        <w:jc w:val="center"/>
        <w:rPr>
          <w:b/>
        </w:rPr>
      </w:pPr>
    </w:p>
    <w:p w:rsidR="002D07C8" w:rsidRPr="002D07C8" w:rsidRDefault="002D07C8" w:rsidP="002D07C8">
      <w:pPr>
        <w:jc w:val="center"/>
        <w:rPr>
          <w:b/>
        </w:rPr>
      </w:pPr>
    </w:p>
    <w:p w:rsidR="002D07C8" w:rsidRDefault="002D07C8" w:rsidP="002D07C8">
      <w:pPr>
        <w:jc w:val="center"/>
        <w:rPr>
          <w:b/>
        </w:rPr>
      </w:pPr>
    </w:p>
    <w:p w:rsidR="003656E1" w:rsidRPr="002D07C8" w:rsidRDefault="003656E1"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Default="002D07C8" w:rsidP="002D07C8">
      <w:pPr>
        <w:jc w:val="center"/>
        <w:rPr>
          <w:b/>
        </w:rPr>
      </w:pPr>
    </w:p>
    <w:p w:rsidR="00E52548" w:rsidRDefault="00E52548" w:rsidP="002D07C8">
      <w:pPr>
        <w:jc w:val="center"/>
        <w:rPr>
          <w:b/>
        </w:rPr>
      </w:pPr>
    </w:p>
    <w:p w:rsidR="00E52548" w:rsidRPr="002D07C8" w:rsidRDefault="00E5254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lastRenderedPageBreak/>
        <w:t>VINICIUS SILVA DOS SANTOS</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TRANSFERÊNCIA INTERNACIONAL DA UNIDADE DE PRONTO ATENDIMENTO (UPA):</w:t>
      </w:r>
    </w:p>
    <w:p w:rsidR="002D07C8" w:rsidRPr="002D07C8" w:rsidRDefault="002D07C8" w:rsidP="002D07C8">
      <w:pPr>
        <w:jc w:val="center"/>
        <w:rPr>
          <w:b/>
        </w:rPr>
      </w:pPr>
    </w:p>
    <w:p w:rsidR="002D07C8" w:rsidRPr="002D07C8" w:rsidRDefault="002D07C8" w:rsidP="002D07C8">
      <w:pPr>
        <w:jc w:val="center"/>
        <w:rPr>
          <w:b/>
        </w:rPr>
      </w:pPr>
      <w:r w:rsidRPr="002D07C8">
        <w:rPr>
          <w:b/>
        </w:rPr>
        <w:t>O ESTADO DO RIO DE JANEIRO E A PROVÍNCIA DE BUENOS AIRES EM PERSPECTIVA COMPARADA</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Orientador: Prof. Dr André Luiz Coelho Farias de Souza</w:t>
      </w: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p>
    <w:p w:rsidR="002D07C8" w:rsidRPr="002D07C8" w:rsidRDefault="002D07C8" w:rsidP="002D07C8">
      <w:pPr>
        <w:jc w:val="center"/>
        <w:rPr>
          <w:b/>
        </w:rPr>
      </w:pPr>
      <w:r w:rsidRPr="002D07C8">
        <w:rPr>
          <w:b/>
        </w:rPr>
        <w:t>RIO DE JANEIRO</w:t>
      </w:r>
    </w:p>
    <w:p w:rsidR="002D07C8" w:rsidRDefault="002D07C8" w:rsidP="002D07C8">
      <w:pPr>
        <w:jc w:val="center"/>
        <w:rPr>
          <w:b/>
        </w:rPr>
      </w:pPr>
      <w:r w:rsidRPr="002D07C8">
        <w:rPr>
          <w:b/>
        </w:rPr>
        <w:t>2017</w:t>
      </w:r>
    </w:p>
    <w:p w:rsidR="002D07C8" w:rsidRDefault="002D07C8" w:rsidP="002D07C8">
      <w:pPr>
        <w:jc w:val="center"/>
        <w:rPr>
          <w:b/>
        </w:rPr>
      </w:pPr>
    </w:p>
    <w:p w:rsidR="002D07C8" w:rsidRDefault="002D07C8" w:rsidP="002D07C8">
      <w:pPr>
        <w:jc w:val="center"/>
        <w:rPr>
          <w:b/>
        </w:rPr>
      </w:pPr>
    </w:p>
    <w:p w:rsidR="002D07C8" w:rsidRDefault="002D07C8" w:rsidP="002D07C8">
      <w:pPr>
        <w:jc w:val="center"/>
        <w:rPr>
          <w:b/>
        </w:rPr>
      </w:pPr>
    </w:p>
    <w:p w:rsidR="002D07C8" w:rsidRDefault="002D07C8" w:rsidP="002D07C8">
      <w:pPr>
        <w:jc w:val="center"/>
        <w:rPr>
          <w:b/>
        </w:rPr>
      </w:pPr>
    </w:p>
    <w:p w:rsidR="002D07C8" w:rsidRDefault="002D07C8" w:rsidP="002D07C8">
      <w:pPr>
        <w:jc w:val="center"/>
        <w:rPr>
          <w:b/>
        </w:rPr>
      </w:pPr>
    </w:p>
    <w:p w:rsidR="002D07C8" w:rsidRDefault="002D07C8" w:rsidP="002D07C8">
      <w:pPr>
        <w:jc w:val="center"/>
        <w:rPr>
          <w:b/>
        </w:rPr>
      </w:pPr>
    </w:p>
    <w:p w:rsidR="00024B04" w:rsidRDefault="00024B04" w:rsidP="002D07C8">
      <w:pPr>
        <w:jc w:val="center"/>
        <w:rPr>
          <w:b/>
        </w:rPr>
      </w:pPr>
    </w:p>
    <w:p w:rsidR="002D07C8" w:rsidRPr="00D43DB9" w:rsidRDefault="002D07C8" w:rsidP="002D07C8">
      <w:pPr>
        <w:jc w:val="center"/>
        <w:rPr>
          <w:b/>
        </w:rPr>
      </w:pPr>
      <w:r w:rsidRPr="00D43DB9">
        <w:rPr>
          <w:b/>
        </w:rPr>
        <w:lastRenderedPageBreak/>
        <w:t>SUMÁRIO</w:t>
      </w:r>
    </w:p>
    <w:p w:rsidR="002D07C8" w:rsidRPr="00D43DB9" w:rsidRDefault="002D07C8" w:rsidP="002D07C8">
      <w:pPr>
        <w:jc w:val="both"/>
        <w:rPr>
          <w:b/>
        </w:rPr>
      </w:pPr>
    </w:p>
    <w:p w:rsidR="002D07C8" w:rsidRPr="00D43DB9" w:rsidRDefault="002D07C8" w:rsidP="002D07C8">
      <w:pPr>
        <w:jc w:val="both"/>
        <w:rPr>
          <w:b/>
        </w:rPr>
      </w:pPr>
      <w:r w:rsidRPr="00D43DB9">
        <w:rPr>
          <w:b/>
        </w:rPr>
        <w:t xml:space="preserve">INTRODUÇÃO </w:t>
      </w:r>
    </w:p>
    <w:p w:rsidR="002D07C8" w:rsidRDefault="002D07C8" w:rsidP="002D07C8">
      <w:pPr>
        <w:jc w:val="center"/>
        <w:rPr>
          <w:b/>
        </w:rPr>
      </w:pPr>
    </w:p>
    <w:p w:rsidR="002D07C8" w:rsidRDefault="002D07C8" w:rsidP="002D07C8">
      <w:pPr>
        <w:jc w:val="both"/>
        <w:rPr>
          <w:b/>
        </w:rPr>
      </w:pPr>
      <w:r w:rsidRPr="00D43DB9">
        <w:rPr>
          <w:b/>
        </w:rPr>
        <w:t xml:space="preserve">CAPÍTULO </w:t>
      </w:r>
      <w:r>
        <w:rPr>
          <w:b/>
        </w:rPr>
        <w:t>1</w:t>
      </w:r>
      <w:r w:rsidRPr="00D43DB9">
        <w:rPr>
          <w:b/>
        </w:rPr>
        <w:t>:</w:t>
      </w:r>
      <w:r w:rsidRPr="005A0D3A">
        <w:rPr>
          <w:b/>
        </w:rPr>
        <w:t xml:space="preserve">O MODELO INTEGRATIVO: </w:t>
      </w:r>
      <w:r w:rsidRPr="009A707A">
        <w:rPr>
          <w:b/>
        </w:rPr>
        <w:t>AS TRÊS DIMENSÕES DO “CICLO DE TRANSFERÊNCIA DE POLÍTICAS PÚBLICAS”</w:t>
      </w:r>
    </w:p>
    <w:p w:rsidR="005D21E7" w:rsidRPr="00D43DB9" w:rsidRDefault="005D21E7" w:rsidP="002D07C8">
      <w:pPr>
        <w:jc w:val="both"/>
        <w:rPr>
          <w:b/>
        </w:rPr>
      </w:pPr>
    </w:p>
    <w:p w:rsidR="005D21E7" w:rsidRPr="00554D51" w:rsidRDefault="005D21E7" w:rsidP="00554D51">
      <w:pPr>
        <w:jc w:val="both"/>
      </w:pPr>
      <w:r w:rsidRPr="00554D51">
        <w:t>1</w:t>
      </w:r>
      <w:r w:rsidR="002D07C8" w:rsidRPr="00554D51">
        <w:t xml:space="preserve">.1 </w:t>
      </w:r>
      <w:r w:rsidRPr="00554D51">
        <w:t>A dimensão internacional das Políticas Públicas</w:t>
      </w:r>
    </w:p>
    <w:p w:rsidR="005D21E7" w:rsidRPr="00554D51" w:rsidRDefault="005D21E7" w:rsidP="00554D51">
      <w:pPr>
        <w:jc w:val="both"/>
      </w:pPr>
      <w:r w:rsidRPr="00554D51">
        <w:t>1</w:t>
      </w:r>
      <w:r w:rsidR="002D07C8" w:rsidRPr="00554D51">
        <w:t>.</w:t>
      </w:r>
      <w:r w:rsidRPr="00554D51">
        <w:t>2</w:t>
      </w:r>
      <w:r w:rsidR="00554D51" w:rsidRPr="00554D51">
        <w:t xml:space="preserve"> </w:t>
      </w:r>
      <w:r w:rsidRPr="00554D51">
        <w:t>Breves apontamentos sobre Difusão e Transferência de Políticas</w:t>
      </w:r>
      <w:r w:rsidR="002E7B74">
        <w:t xml:space="preserve"> Públicas </w:t>
      </w:r>
    </w:p>
    <w:p w:rsidR="005442C7" w:rsidRPr="00554D51" w:rsidRDefault="005D21E7" w:rsidP="00554D51">
      <w:pPr>
        <w:jc w:val="both"/>
      </w:pPr>
      <w:r w:rsidRPr="00554D51">
        <w:t>1</w:t>
      </w:r>
      <w:r w:rsidR="002D07C8" w:rsidRPr="00554D51">
        <w:t>.</w:t>
      </w:r>
      <w:r w:rsidRPr="00554D51">
        <w:t xml:space="preserve">3 </w:t>
      </w:r>
      <w:r w:rsidR="005442C7" w:rsidRPr="00554D51">
        <w:t>A multidimensionalidade da Transferência de Políticas</w:t>
      </w:r>
      <w:r w:rsidR="00E13346">
        <w:t xml:space="preserve"> Públicas</w:t>
      </w:r>
    </w:p>
    <w:p w:rsidR="00554D51" w:rsidRPr="007B2C70" w:rsidRDefault="00554D51" w:rsidP="00554D51">
      <w:pPr>
        <w:jc w:val="both"/>
        <w:rPr>
          <w:b/>
        </w:rPr>
      </w:pPr>
      <w:r w:rsidRPr="00554D51">
        <w:t>1.4 Conclusão Parcial</w:t>
      </w:r>
    </w:p>
    <w:p w:rsidR="002D07C8" w:rsidRPr="00D43DB9" w:rsidRDefault="002D07C8" w:rsidP="002D07C8">
      <w:pPr>
        <w:jc w:val="both"/>
        <w:rPr>
          <w:b/>
        </w:rPr>
      </w:pPr>
    </w:p>
    <w:p w:rsidR="002D07C8" w:rsidRDefault="002D07C8" w:rsidP="002D07C8">
      <w:pPr>
        <w:jc w:val="both"/>
        <w:rPr>
          <w:b/>
        </w:rPr>
      </w:pPr>
      <w:r>
        <w:rPr>
          <w:b/>
        </w:rPr>
        <w:t>CAPÍTULO 2.  O FEDERALISMO, A AÇÃO INTERNACIONAL DAS UNIDADES SUBNACIONAIS E SEUS IMPACTOS PARA A TRANSFERÊNCIA DE POLÍTICAS PÚBLICAS</w:t>
      </w:r>
    </w:p>
    <w:p w:rsidR="00554D51" w:rsidRDefault="00554D51" w:rsidP="002D07C8">
      <w:pPr>
        <w:jc w:val="both"/>
        <w:rPr>
          <w:b/>
        </w:rPr>
      </w:pPr>
    </w:p>
    <w:p w:rsidR="00554D51" w:rsidRDefault="00554D51" w:rsidP="00554D51">
      <w:pPr>
        <w:jc w:val="both"/>
        <w:rPr>
          <w:bCs/>
          <w:color w:val="000000"/>
        </w:rPr>
      </w:pPr>
      <w:r w:rsidRPr="00554D51">
        <w:rPr>
          <w:bCs/>
          <w:color w:val="000000"/>
        </w:rPr>
        <w:t>2.1 Federalismo e Política Exterior: a “Racionalização da Política Externa”</w:t>
      </w:r>
    </w:p>
    <w:p w:rsidR="00554D51" w:rsidRPr="00554D51" w:rsidRDefault="00554D51" w:rsidP="00554D51">
      <w:pPr>
        <w:jc w:val="both"/>
        <w:rPr>
          <w:bCs/>
          <w:color w:val="000000"/>
        </w:rPr>
      </w:pPr>
      <w:r w:rsidRPr="00554D51">
        <w:t>2.2. “Racionalização da Política Exterior” como variável dependente</w:t>
      </w:r>
    </w:p>
    <w:p w:rsidR="00554D51" w:rsidRPr="00554D51" w:rsidRDefault="00554D51" w:rsidP="00554D51">
      <w:pPr>
        <w:ind w:firstLine="708"/>
        <w:jc w:val="both"/>
      </w:pPr>
      <w:r w:rsidRPr="00554D51">
        <w:t>2.2.1 C</w:t>
      </w:r>
      <w:r>
        <w:t>apacidade de Ação Internacional</w:t>
      </w:r>
    </w:p>
    <w:p w:rsidR="00554D51" w:rsidRPr="00554D51" w:rsidRDefault="00554D51" w:rsidP="00554D51">
      <w:pPr>
        <w:pStyle w:val="PargrafodaLista"/>
        <w:spacing w:line="240" w:lineRule="auto"/>
        <w:jc w:val="both"/>
        <w:rPr>
          <w:rFonts w:ascii="Times New Roman" w:hAnsi="Times New Roman"/>
          <w:sz w:val="24"/>
          <w:szCs w:val="24"/>
        </w:rPr>
      </w:pPr>
      <w:r w:rsidRPr="00554D51">
        <w:rPr>
          <w:rFonts w:ascii="Times New Roman" w:hAnsi="Times New Roman"/>
          <w:sz w:val="24"/>
          <w:szCs w:val="24"/>
        </w:rPr>
        <w:t xml:space="preserve">2.2.2 </w:t>
      </w:r>
      <w:r>
        <w:rPr>
          <w:rFonts w:ascii="Times New Roman" w:hAnsi="Times New Roman"/>
          <w:sz w:val="24"/>
          <w:szCs w:val="24"/>
        </w:rPr>
        <w:t>Capacidade de Coordenação</w:t>
      </w:r>
    </w:p>
    <w:p w:rsidR="00554D51" w:rsidRPr="00554D51" w:rsidRDefault="00554D51" w:rsidP="00972D41">
      <w:pPr>
        <w:pStyle w:val="PargrafodaLista"/>
        <w:spacing w:after="0" w:line="240" w:lineRule="auto"/>
        <w:jc w:val="both"/>
        <w:rPr>
          <w:rFonts w:ascii="Times New Roman" w:hAnsi="Times New Roman"/>
          <w:sz w:val="24"/>
          <w:szCs w:val="24"/>
        </w:rPr>
      </w:pPr>
      <w:r w:rsidRPr="00554D51">
        <w:rPr>
          <w:rFonts w:ascii="Times New Roman" w:hAnsi="Times New Roman"/>
          <w:sz w:val="24"/>
        </w:rPr>
        <w:t>2.2.3 Capacidade de Cooperação</w:t>
      </w:r>
    </w:p>
    <w:p w:rsidR="00554D51" w:rsidRDefault="00554D51" w:rsidP="00554D51">
      <w:pPr>
        <w:jc w:val="both"/>
        <w:rPr>
          <w:rFonts w:eastAsia="Calibri"/>
          <w:bCs/>
          <w:color w:val="000000"/>
        </w:rPr>
      </w:pPr>
      <w:r w:rsidRPr="00554D51">
        <w:rPr>
          <w:rFonts w:eastAsia="Calibri"/>
          <w:bCs/>
          <w:color w:val="000000"/>
        </w:rPr>
        <w:t>2.3 Método Histórico Comparativo</w:t>
      </w:r>
    </w:p>
    <w:p w:rsidR="00554D51" w:rsidRDefault="00554D51" w:rsidP="00554D51">
      <w:pPr>
        <w:jc w:val="both"/>
        <w:rPr>
          <w:rFonts w:eastAsia="Calibri"/>
          <w:bCs/>
          <w:color w:val="000000"/>
        </w:rPr>
      </w:pPr>
      <w:r w:rsidRPr="00554D51">
        <w:t xml:space="preserve">2.4. </w:t>
      </w:r>
      <w:r>
        <w:t>O mapeamento de processo (</w:t>
      </w:r>
      <w:r w:rsidRPr="00D66664">
        <w:rPr>
          <w:i/>
        </w:rPr>
        <w:t>Process Tracing</w:t>
      </w:r>
      <w:r>
        <w:t>)</w:t>
      </w:r>
    </w:p>
    <w:p w:rsidR="00554D51" w:rsidRPr="007B2C70" w:rsidRDefault="00554D51" w:rsidP="00554D51">
      <w:pPr>
        <w:jc w:val="both"/>
        <w:rPr>
          <w:b/>
        </w:rPr>
      </w:pPr>
      <w:r>
        <w:t>2</w:t>
      </w:r>
      <w:r w:rsidRPr="00554D51">
        <w:t>.</w:t>
      </w:r>
      <w:r>
        <w:t>5</w:t>
      </w:r>
      <w:r w:rsidRPr="00554D51">
        <w:t xml:space="preserve"> Conclusão Parcial</w:t>
      </w:r>
    </w:p>
    <w:p w:rsidR="00554D51" w:rsidRPr="00554D51" w:rsidRDefault="00554D51" w:rsidP="00554D51">
      <w:pPr>
        <w:spacing w:after="200"/>
        <w:jc w:val="both"/>
        <w:rPr>
          <w:rFonts w:eastAsia="Calibri"/>
          <w:bCs/>
          <w:color w:val="000000"/>
        </w:rPr>
      </w:pPr>
    </w:p>
    <w:p w:rsidR="00B4786A" w:rsidRPr="002D07C8" w:rsidRDefault="002D07C8" w:rsidP="00B4786A">
      <w:pPr>
        <w:jc w:val="both"/>
        <w:rPr>
          <w:b/>
        </w:rPr>
      </w:pPr>
      <w:r>
        <w:rPr>
          <w:b/>
        </w:rPr>
        <w:t xml:space="preserve">CAPÍTULO 3. </w:t>
      </w:r>
      <w:r w:rsidR="00B4786A">
        <w:rPr>
          <w:b/>
        </w:rPr>
        <w:t xml:space="preserve">RACIONALIZAÇÃO DA POLÍTICA EXTERIOR: </w:t>
      </w:r>
      <w:r w:rsidR="00B4786A" w:rsidRPr="002D07C8">
        <w:rPr>
          <w:b/>
        </w:rPr>
        <w:t>O ESTADO DO RIO DE JANEIRO E A PROVÍNCIA DE BUENOS AIRES EM PERSPECTIVA COMPARADA</w:t>
      </w:r>
    </w:p>
    <w:p w:rsidR="002D07C8" w:rsidRDefault="002D07C8" w:rsidP="002D07C8">
      <w:pPr>
        <w:jc w:val="both"/>
        <w:rPr>
          <w:b/>
        </w:rPr>
      </w:pPr>
    </w:p>
    <w:p w:rsidR="001F268E" w:rsidRPr="001F268E" w:rsidRDefault="00972D41" w:rsidP="001F268E">
      <w:pPr>
        <w:jc w:val="both"/>
      </w:pPr>
      <w:r>
        <w:t xml:space="preserve">3.1 </w:t>
      </w:r>
      <w:r w:rsidR="001F268E" w:rsidRPr="001F268E">
        <w:t xml:space="preserve">Ação Internacional das Unidades Subnacionais </w:t>
      </w:r>
    </w:p>
    <w:p w:rsidR="001F268E" w:rsidRPr="001F268E" w:rsidRDefault="00972D41" w:rsidP="00972D41">
      <w:pPr>
        <w:ind w:firstLine="708"/>
        <w:jc w:val="both"/>
      </w:pPr>
      <w:r>
        <w:t>3.1.1</w:t>
      </w:r>
      <w:r w:rsidR="001F268E" w:rsidRPr="001F268E">
        <w:t xml:space="preserve"> Ação Internacional das Unidades Subnacionais na</w:t>
      </w:r>
      <w:r w:rsidR="00103390">
        <w:t xml:space="preserve"> Argentina</w:t>
      </w:r>
    </w:p>
    <w:p w:rsidR="00972D41" w:rsidRPr="00554D51" w:rsidRDefault="00972D41" w:rsidP="00972D41">
      <w:pPr>
        <w:ind w:left="708" w:firstLine="708"/>
        <w:jc w:val="both"/>
      </w:pPr>
      <w:r>
        <w:t xml:space="preserve">a) </w:t>
      </w:r>
      <w:r w:rsidRPr="00554D51">
        <w:t>C</w:t>
      </w:r>
      <w:r>
        <w:t>apacidade de Ação Internacional</w:t>
      </w:r>
    </w:p>
    <w:p w:rsidR="00972D41" w:rsidRPr="00554D51" w:rsidRDefault="00972D41" w:rsidP="00972D41">
      <w:pPr>
        <w:pStyle w:val="PargrafodaLista"/>
        <w:spacing w:line="240" w:lineRule="auto"/>
        <w:ind w:left="1416"/>
        <w:jc w:val="both"/>
        <w:rPr>
          <w:rFonts w:ascii="Times New Roman" w:hAnsi="Times New Roman"/>
          <w:sz w:val="24"/>
          <w:szCs w:val="24"/>
        </w:rPr>
      </w:pPr>
      <w:r>
        <w:rPr>
          <w:rFonts w:ascii="Times New Roman" w:hAnsi="Times New Roman"/>
          <w:sz w:val="24"/>
          <w:szCs w:val="24"/>
        </w:rPr>
        <w:t>b)</w:t>
      </w:r>
      <w:r w:rsidRPr="00554D51">
        <w:rPr>
          <w:rFonts w:ascii="Times New Roman" w:hAnsi="Times New Roman"/>
          <w:sz w:val="24"/>
          <w:szCs w:val="24"/>
        </w:rPr>
        <w:t xml:space="preserve"> </w:t>
      </w:r>
      <w:r>
        <w:rPr>
          <w:rFonts w:ascii="Times New Roman" w:hAnsi="Times New Roman"/>
          <w:sz w:val="24"/>
          <w:szCs w:val="24"/>
        </w:rPr>
        <w:t>Capacidade de Coordenação</w:t>
      </w:r>
    </w:p>
    <w:p w:rsidR="00972D41" w:rsidRPr="00554D51" w:rsidRDefault="00972D41" w:rsidP="00972D41">
      <w:pPr>
        <w:pStyle w:val="PargrafodaLista"/>
        <w:spacing w:after="0" w:line="240" w:lineRule="auto"/>
        <w:ind w:left="1416"/>
        <w:jc w:val="both"/>
        <w:rPr>
          <w:rFonts w:ascii="Times New Roman" w:hAnsi="Times New Roman"/>
          <w:sz w:val="24"/>
          <w:szCs w:val="24"/>
        </w:rPr>
      </w:pPr>
      <w:r>
        <w:rPr>
          <w:rFonts w:ascii="Times New Roman" w:hAnsi="Times New Roman"/>
          <w:sz w:val="24"/>
        </w:rPr>
        <w:t xml:space="preserve">c) </w:t>
      </w:r>
      <w:r w:rsidRPr="00554D51">
        <w:rPr>
          <w:rFonts w:ascii="Times New Roman" w:hAnsi="Times New Roman"/>
          <w:sz w:val="24"/>
        </w:rPr>
        <w:t>Capacidade de Cooperação</w:t>
      </w:r>
    </w:p>
    <w:p w:rsidR="001F268E" w:rsidRPr="001F268E" w:rsidRDefault="00972D41" w:rsidP="001F268E">
      <w:pPr>
        <w:ind w:firstLine="708"/>
        <w:jc w:val="both"/>
      </w:pPr>
      <w:r>
        <w:t>3.1</w:t>
      </w:r>
      <w:r w:rsidR="001F268E" w:rsidRPr="001F268E">
        <w:t>.2 Ação Internacional das Unidades Subnacionais no Brasil</w:t>
      </w:r>
    </w:p>
    <w:p w:rsidR="00972D41" w:rsidRPr="00554D51" w:rsidRDefault="00972D41" w:rsidP="00972D41">
      <w:pPr>
        <w:ind w:left="708" w:firstLine="708"/>
        <w:jc w:val="both"/>
      </w:pPr>
      <w:r>
        <w:t xml:space="preserve">a) </w:t>
      </w:r>
      <w:r w:rsidRPr="00554D51">
        <w:t>C</w:t>
      </w:r>
      <w:r>
        <w:t>apacidade de Ação Internacional</w:t>
      </w:r>
    </w:p>
    <w:p w:rsidR="00972D41" w:rsidRPr="00554D51" w:rsidRDefault="00972D41" w:rsidP="00972D41">
      <w:pPr>
        <w:pStyle w:val="PargrafodaLista"/>
        <w:spacing w:line="240" w:lineRule="auto"/>
        <w:ind w:left="1416"/>
        <w:jc w:val="both"/>
        <w:rPr>
          <w:rFonts w:ascii="Times New Roman" w:hAnsi="Times New Roman"/>
          <w:sz w:val="24"/>
          <w:szCs w:val="24"/>
        </w:rPr>
      </w:pPr>
      <w:r>
        <w:rPr>
          <w:rFonts w:ascii="Times New Roman" w:hAnsi="Times New Roman"/>
          <w:sz w:val="24"/>
          <w:szCs w:val="24"/>
        </w:rPr>
        <w:t>b)</w:t>
      </w:r>
      <w:r w:rsidRPr="00554D51">
        <w:rPr>
          <w:rFonts w:ascii="Times New Roman" w:hAnsi="Times New Roman"/>
          <w:sz w:val="24"/>
          <w:szCs w:val="24"/>
        </w:rPr>
        <w:t xml:space="preserve"> </w:t>
      </w:r>
      <w:r>
        <w:rPr>
          <w:rFonts w:ascii="Times New Roman" w:hAnsi="Times New Roman"/>
          <w:sz w:val="24"/>
          <w:szCs w:val="24"/>
        </w:rPr>
        <w:t>Capacidade de Coordenação</w:t>
      </w:r>
    </w:p>
    <w:p w:rsidR="00972D41" w:rsidRPr="00554D51" w:rsidRDefault="00972D41" w:rsidP="00972D41">
      <w:pPr>
        <w:pStyle w:val="PargrafodaLista"/>
        <w:spacing w:after="0" w:line="240" w:lineRule="auto"/>
        <w:ind w:left="1416"/>
        <w:jc w:val="both"/>
        <w:rPr>
          <w:rFonts w:ascii="Times New Roman" w:hAnsi="Times New Roman"/>
          <w:sz w:val="24"/>
          <w:szCs w:val="24"/>
        </w:rPr>
      </w:pPr>
      <w:r>
        <w:rPr>
          <w:rFonts w:ascii="Times New Roman" w:hAnsi="Times New Roman"/>
          <w:sz w:val="24"/>
        </w:rPr>
        <w:t xml:space="preserve">c) </w:t>
      </w:r>
      <w:r w:rsidRPr="00554D51">
        <w:rPr>
          <w:rFonts w:ascii="Times New Roman" w:hAnsi="Times New Roman"/>
          <w:sz w:val="24"/>
        </w:rPr>
        <w:t>Capacidade de Cooperação</w:t>
      </w:r>
    </w:p>
    <w:p w:rsidR="007E2E7A" w:rsidRPr="007E2E7A" w:rsidRDefault="007E2E7A" w:rsidP="007E2E7A">
      <w:pPr>
        <w:jc w:val="both"/>
      </w:pPr>
      <w:r w:rsidRPr="007E2E7A">
        <w:rPr>
          <w:color w:val="000000"/>
        </w:rPr>
        <w:t>3.2 Em resumo: comparando o Estado do Rio de Janeiro e a Província de Buenos Aires</w:t>
      </w:r>
    </w:p>
    <w:p w:rsidR="00FC2B19" w:rsidRDefault="00FC2B19" w:rsidP="002D07C8">
      <w:pPr>
        <w:jc w:val="both"/>
        <w:rPr>
          <w:b/>
        </w:rPr>
      </w:pPr>
    </w:p>
    <w:p w:rsidR="002E7B74" w:rsidRDefault="00FC2B19" w:rsidP="002E7B74">
      <w:pPr>
        <w:jc w:val="both"/>
      </w:pPr>
      <w:r>
        <w:rPr>
          <w:b/>
        </w:rPr>
        <w:t>CAPÍTULO 4.</w:t>
      </w:r>
      <w:r w:rsidR="002E7B74">
        <w:rPr>
          <w:b/>
        </w:rPr>
        <w:t xml:space="preserve"> </w:t>
      </w:r>
      <w:r w:rsidR="002E7B74" w:rsidRPr="002E7B74">
        <w:rPr>
          <w:b/>
        </w:rPr>
        <w:t>A TRANSFERÊNCIA DA UNIDADE DE PRONTO ATENDIMENTO</w:t>
      </w:r>
    </w:p>
    <w:p w:rsidR="002E7B74" w:rsidRDefault="002E7B74" w:rsidP="002E7B74">
      <w:r>
        <w:t>4.1 A Unidade de Pronto Atendimento (UPA) no Estado do Rio de Janeiro</w:t>
      </w:r>
    </w:p>
    <w:p w:rsidR="002E7B74" w:rsidRPr="002E7B74" w:rsidRDefault="002E7B74" w:rsidP="002E7B74">
      <w:pPr>
        <w:jc w:val="both"/>
      </w:pPr>
      <w:r>
        <w:t xml:space="preserve">4.2 </w:t>
      </w:r>
      <w:r w:rsidRPr="002E7B74">
        <w:t xml:space="preserve">O processo no Brasil: a Transferência e a Difusão  </w:t>
      </w:r>
    </w:p>
    <w:p w:rsidR="002E7B74" w:rsidRPr="002E7B74" w:rsidRDefault="002E7B74" w:rsidP="002E7B74">
      <w:pPr>
        <w:jc w:val="both"/>
      </w:pPr>
      <w:r>
        <w:t xml:space="preserve">4.3 </w:t>
      </w:r>
      <w:r w:rsidRPr="002E7B74">
        <w:t>A identificação de um problema e os caminhos até a Inauguração da Primeira Unidad de Pronta Atención (UPA – BUE)</w:t>
      </w:r>
    </w:p>
    <w:p w:rsidR="002E7B74" w:rsidRDefault="002E7B74" w:rsidP="002E7B74">
      <w:r>
        <w:t xml:space="preserve">4.4 </w:t>
      </w:r>
      <w:r w:rsidRPr="00657580">
        <w:t>A segunda gestão de Daniel Scioli (2011 – 2015): a expansão das Unidades de Pronta Atención (UPA</w:t>
      </w:r>
      <w:r>
        <w:t>)</w:t>
      </w:r>
    </w:p>
    <w:p w:rsidR="002E7B74" w:rsidRPr="002E7B74" w:rsidRDefault="002E7B74" w:rsidP="002E7B74">
      <w:pPr>
        <w:jc w:val="both"/>
      </w:pPr>
      <w:r>
        <w:t xml:space="preserve">4.5 </w:t>
      </w:r>
      <w:r w:rsidRPr="002E7B74">
        <w:t>A Onda Rosa e a UPA chegam à Campanha Presidencial: a dimensão internacional da transferência como agenda de pesquisa</w:t>
      </w:r>
    </w:p>
    <w:p w:rsidR="002E7B74" w:rsidRPr="002E7B74" w:rsidRDefault="002E7B74" w:rsidP="002E7B74">
      <w:pPr>
        <w:jc w:val="both"/>
      </w:pPr>
      <w:r>
        <w:lastRenderedPageBreak/>
        <w:t xml:space="preserve">4.6 </w:t>
      </w:r>
      <w:r w:rsidRPr="002E7B74">
        <w:t>A derrota no Governo Central, na Província e as implicações das eleições ao modelo da UPA: uma inflexão na portencial Difusão</w:t>
      </w:r>
    </w:p>
    <w:p w:rsidR="002E7B74" w:rsidRDefault="002E7B74" w:rsidP="002E7B74">
      <w:r>
        <w:t xml:space="preserve">4.7. </w:t>
      </w:r>
      <w:r w:rsidRPr="00657580">
        <w:t>Conclusão Parcial</w:t>
      </w:r>
    </w:p>
    <w:p w:rsidR="002E7B74" w:rsidRDefault="002E7B74" w:rsidP="002D07C8">
      <w:pPr>
        <w:jc w:val="both"/>
        <w:rPr>
          <w:b/>
        </w:rPr>
      </w:pPr>
    </w:p>
    <w:p w:rsidR="002D07C8" w:rsidRPr="00D43DB9" w:rsidRDefault="002D07C8" w:rsidP="002D07C8">
      <w:pPr>
        <w:jc w:val="both"/>
      </w:pPr>
      <w:r w:rsidRPr="00D43DB9">
        <w:rPr>
          <w:b/>
        </w:rPr>
        <w:t>CONCLUSÃO</w:t>
      </w:r>
    </w:p>
    <w:p w:rsidR="002D07C8" w:rsidRPr="00D43DB9" w:rsidRDefault="002D07C8" w:rsidP="002D07C8">
      <w:pPr>
        <w:jc w:val="both"/>
      </w:pPr>
      <w:r w:rsidRPr="00D43DB9">
        <w:rPr>
          <w:b/>
        </w:rPr>
        <w:t>REFERÊNCIAS BIBLIOGRÁFICAS</w:t>
      </w:r>
    </w:p>
    <w:p w:rsidR="002D07C8" w:rsidRPr="00D43DB9" w:rsidRDefault="002D07C8" w:rsidP="002D07C8">
      <w:pPr>
        <w:jc w:val="both"/>
      </w:pPr>
      <w:r w:rsidRPr="00D43DB9">
        <w:t>Apêndice A: Lista de documentos</w:t>
      </w: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D07C8" w:rsidRDefault="002D07C8" w:rsidP="002D07C8">
      <w:pPr>
        <w:jc w:val="center"/>
        <w:rPr>
          <w:b/>
        </w:rPr>
      </w:pPr>
      <w:r w:rsidRPr="00D43DB9">
        <w:rPr>
          <w:b/>
        </w:rPr>
        <w:lastRenderedPageBreak/>
        <w:t>LISTA DE ABREVIATURAS E SIGLAS</w:t>
      </w:r>
    </w:p>
    <w:p w:rsidR="002D07C8" w:rsidRPr="00D43DB9" w:rsidRDefault="002D07C8" w:rsidP="002D07C8">
      <w:pPr>
        <w:jc w:val="center"/>
        <w:rPr>
          <w:b/>
        </w:rPr>
      </w:pPr>
    </w:p>
    <w:p w:rsidR="002D07C8" w:rsidRPr="00D43DB9" w:rsidRDefault="002D07C8" w:rsidP="002D07C8">
      <w:r w:rsidRPr="00D43DB9">
        <w:t xml:space="preserve">BID: Banco Interamericano de Desenvolvimento </w:t>
      </w:r>
    </w:p>
    <w:p w:rsidR="002D07C8" w:rsidRPr="00D43DB9" w:rsidRDefault="002D07C8" w:rsidP="002D07C8">
      <w:r w:rsidRPr="00D43DB9">
        <w:t xml:space="preserve">BIRD: Banco Mundial </w:t>
      </w:r>
    </w:p>
    <w:p w:rsidR="002D07C8" w:rsidRPr="00D43DB9" w:rsidRDefault="002D07C8" w:rsidP="002D07C8">
      <w:r w:rsidRPr="00D43DB9">
        <w:t>ONU: Organização das Nações Unidas</w:t>
      </w:r>
    </w:p>
    <w:p w:rsidR="002D07C8" w:rsidRPr="00D43DB9" w:rsidRDefault="002D07C8" w:rsidP="002D07C8">
      <w:r>
        <w:t xml:space="preserve">PNUD: </w:t>
      </w:r>
      <w:r w:rsidRPr="00D43DB9">
        <w:t>Programa das Nações Unidas para o Desenvolvimento</w:t>
      </w:r>
    </w:p>
    <w:p w:rsidR="002D07C8" w:rsidRPr="00D43DB9" w:rsidRDefault="002D07C8" w:rsidP="002D07C8"/>
    <w:p w:rsidR="002D07C8" w:rsidRPr="00D43DB9" w:rsidRDefault="002D07C8" w:rsidP="002D07C8">
      <w:pPr>
        <w:rPr>
          <w:b/>
        </w:rPr>
      </w:pPr>
      <w:r w:rsidRPr="00D43DB9">
        <w:rPr>
          <w:b/>
        </w:rPr>
        <w:t>Argentina</w:t>
      </w:r>
    </w:p>
    <w:p w:rsidR="002D07C8" w:rsidRPr="00D43DB9" w:rsidRDefault="002D07C8" w:rsidP="002D07C8">
      <w:pPr>
        <w:rPr>
          <w:b/>
        </w:rPr>
      </w:pPr>
      <w:r w:rsidRPr="00D43DB9">
        <w:rPr>
          <w:b/>
        </w:rPr>
        <w:t>Províncias</w:t>
      </w:r>
    </w:p>
    <w:p w:rsidR="002D07C8" w:rsidRPr="00D43DB9" w:rsidRDefault="002D07C8" w:rsidP="002D07C8">
      <w:r w:rsidRPr="00D43DB9">
        <w:t>BUE: Buenos Aires</w:t>
      </w:r>
    </w:p>
    <w:p w:rsidR="002D07C8" w:rsidRPr="00D43DB9" w:rsidRDefault="002D07C8" w:rsidP="002D07C8">
      <w:r w:rsidRPr="00D43DB9">
        <w:t xml:space="preserve">CABA: Ciudad Autónoma de Buenos Aires </w:t>
      </w:r>
    </w:p>
    <w:p w:rsidR="002D07C8" w:rsidRPr="00D43DB9" w:rsidRDefault="002D07C8" w:rsidP="002D07C8">
      <w:r w:rsidRPr="00D43DB9">
        <w:t>CAT: Catamarca</w:t>
      </w:r>
    </w:p>
    <w:p w:rsidR="002D07C8" w:rsidRPr="00D43DB9" w:rsidRDefault="002D07C8" w:rsidP="002D07C8">
      <w:r w:rsidRPr="00D43DB9">
        <w:t>CBA: Córdoba</w:t>
      </w:r>
    </w:p>
    <w:p w:rsidR="002D07C8" w:rsidRPr="00D43DB9" w:rsidRDefault="002D07C8" w:rsidP="002D07C8">
      <w:r w:rsidRPr="00D43DB9">
        <w:t>CHA: Chaco</w:t>
      </w:r>
    </w:p>
    <w:p w:rsidR="002D07C8" w:rsidRPr="00D43DB9" w:rsidRDefault="002D07C8" w:rsidP="002D07C8">
      <w:r w:rsidRPr="00D43DB9">
        <w:t>CHU: Chubut</w:t>
      </w:r>
    </w:p>
    <w:p w:rsidR="002D07C8" w:rsidRPr="00D43DB9" w:rsidRDefault="002D07C8" w:rsidP="002D07C8">
      <w:r w:rsidRPr="00D43DB9">
        <w:t>COR: Corrientes</w:t>
      </w:r>
    </w:p>
    <w:p w:rsidR="002D07C8" w:rsidRPr="00D43DB9" w:rsidRDefault="002D07C8" w:rsidP="002D07C8">
      <w:r w:rsidRPr="00D43DB9">
        <w:t>ERI: Entre Rios</w:t>
      </w:r>
    </w:p>
    <w:p w:rsidR="002D07C8" w:rsidRPr="00D43DB9" w:rsidRDefault="002D07C8" w:rsidP="002D07C8">
      <w:r w:rsidRPr="00D43DB9">
        <w:t>FOR: Formosa</w:t>
      </w:r>
    </w:p>
    <w:p w:rsidR="002D07C8" w:rsidRPr="00D43DB9" w:rsidRDefault="002D07C8" w:rsidP="002D07C8">
      <w:r w:rsidRPr="00D43DB9">
        <w:t>JUJ: Jujuy</w:t>
      </w:r>
    </w:p>
    <w:p w:rsidR="002D07C8" w:rsidRPr="00D43DB9" w:rsidRDefault="002D07C8" w:rsidP="002D07C8">
      <w:pPr>
        <w:rPr>
          <w:lang w:val="es-ES"/>
        </w:rPr>
      </w:pPr>
      <w:r w:rsidRPr="00D43DB9">
        <w:rPr>
          <w:lang w:val="es-ES"/>
        </w:rPr>
        <w:t>LAP: La Pampa</w:t>
      </w:r>
    </w:p>
    <w:p w:rsidR="002D07C8" w:rsidRPr="00D43DB9" w:rsidRDefault="002D07C8" w:rsidP="002D07C8">
      <w:pPr>
        <w:rPr>
          <w:lang w:val="es-ES"/>
        </w:rPr>
      </w:pPr>
      <w:r w:rsidRPr="00D43DB9">
        <w:rPr>
          <w:lang w:val="es-ES"/>
        </w:rPr>
        <w:t>LRJ: La Rioja</w:t>
      </w:r>
    </w:p>
    <w:p w:rsidR="002D07C8" w:rsidRPr="00D43DB9" w:rsidRDefault="002D07C8" w:rsidP="002D07C8">
      <w:pPr>
        <w:rPr>
          <w:lang w:val="es-ES"/>
        </w:rPr>
      </w:pPr>
      <w:r w:rsidRPr="00D43DB9">
        <w:rPr>
          <w:lang w:val="es-ES"/>
        </w:rPr>
        <w:t>MIS: Misiones</w:t>
      </w:r>
    </w:p>
    <w:p w:rsidR="002D07C8" w:rsidRPr="00D43DB9" w:rsidRDefault="002D07C8" w:rsidP="002D07C8">
      <w:pPr>
        <w:rPr>
          <w:lang w:val="es-ES"/>
        </w:rPr>
      </w:pPr>
      <w:r w:rsidRPr="00D43DB9">
        <w:rPr>
          <w:lang w:val="es-ES"/>
        </w:rPr>
        <w:t>MZA: Mendoza</w:t>
      </w:r>
    </w:p>
    <w:p w:rsidR="002D07C8" w:rsidRPr="00D43DB9" w:rsidRDefault="002D07C8" w:rsidP="002D07C8">
      <w:pPr>
        <w:rPr>
          <w:lang w:val="es-ES"/>
        </w:rPr>
      </w:pPr>
      <w:r w:rsidRPr="00D43DB9">
        <w:rPr>
          <w:lang w:val="es-ES"/>
        </w:rPr>
        <w:t>NEU: Neuquén</w:t>
      </w:r>
    </w:p>
    <w:p w:rsidR="002D07C8" w:rsidRPr="00D43DB9" w:rsidRDefault="002D07C8" w:rsidP="002D07C8">
      <w:r w:rsidRPr="00D43DB9">
        <w:t>RNO: Río Negro</w:t>
      </w:r>
    </w:p>
    <w:p w:rsidR="002D07C8" w:rsidRPr="00D43DB9" w:rsidRDefault="002D07C8" w:rsidP="002D07C8">
      <w:r w:rsidRPr="00D43DB9">
        <w:t>SAL: Salta</w:t>
      </w:r>
    </w:p>
    <w:p w:rsidR="002D07C8" w:rsidRPr="00D43DB9" w:rsidRDefault="002D07C8" w:rsidP="002D07C8">
      <w:r w:rsidRPr="00D43DB9">
        <w:t>SCR: Santa Cruz</w:t>
      </w:r>
    </w:p>
    <w:p w:rsidR="002D07C8" w:rsidRPr="00D43DB9" w:rsidRDefault="002D07C8" w:rsidP="002D07C8">
      <w:pPr>
        <w:rPr>
          <w:lang w:val="es-ES"/>
        </w:rPr>
      </w:pPr>
      <w:r w:rsidRPr="00D43DB9">
        <w:rPr>
          <w:lang w:val="es-ES"/>
        </w:rPr>
        <w:t>SFE: Santa Fe</w:t>
      </w:r>
    </w:p>
    <w:p w:rsidR="002D07C8" w:rsidRPr="00D43DB9" w:rsidRDefault="002D07C8" w:rsidP="002D07C8">
      <w:pPr>
        <w:rPr>
          <w:lang w:val="es-ES"/>
        </w:rPr>
      </w:pPr>
      <w:r w:rsidRPr="00D43DB9">
        <w:rPr>
          <w:lang w:val="es-ES"/>
        </w:rPr>
        <w:t>SGO: Santiago del Estero</w:t>
      </w:r>
    </w:p>
    <w:p w:rsidR="002D07C8" w:rsidRPr="00D43DB9" w:rsidRDefault="002D07C8" w:rsidP="002D07C8">
      <w:pPr>
        <w:rPr>
          <w:lang w:val="es-ES"/>
        </w:rPr>
      </w:pPr>
      <w:r w:rsidRPr="00D43DB9">
        <w:rPr>
          <w:lang w:val="es-ES"/>
        </w:rPr>
        <w:t>SJU: San Juan</w:t>
      </w:r>
    </w:p>
    <w:p w:rsidR="002D07C8" w:rsidRPr="00D43DB9" w:rsidRDefault="002D07C8" w:rsidP="002D07C8">
      <w:pPr>
        <w:rPr>
          <w:lang w:val="es-ES"/>
        </w:rPr>
      </w:pPr>
      <w:r w:rsidRPr="00D43DB9">
        <w:rPr>
          <w:lang w:val="es-ES"/>
        </w:rPr>
        <w:t>SLU: San Luís</w:t>
      </w:r>
    </w:p>
    <w:p w:rsidR="002D07C8" w:rsidRPr="00D43DB9" w:rsidRDefault="002D07C8" w:rsidP="002D07C8">
      <w:pPr>
        <w:rPr>
          <w:lang w:val="es-ES"/>
        </w:rPr>
      </w:pPr>
      <w:r w:rsidRPr="00D43DB9">
        <w:rPr>
          <w:lang w:val="es-ES"/>
        </w:rPr>
        <w:t>TDF: Tierra del Fuego</w:t>
      </w:r>
    </w:p>
    <w:p w:rsidR="002D07C8" w:rsidRPr="00D43DB9" w:rsidRDefault="002D07C8" w:rsidP="002D07C8">
      <w:pPr>
        <w:rPr>
          <w:lang w:val="es-ES"/>
        </w:rPr>
      </w:pPr>
      <w:r w:rsidRPr="00D43DB9">
        <w:rPr>
          <w:lang w:val="es-ES"/>
        </w:rPr>
        <w:t>TUC: Tucumán</w:t>
      </w:r>
    </w:p>
    <w:p w:rsidR="002D07C8" w:rsidRPr="00D43DB9" w:rsidRDefault="002D07C8" w:rsidP="002D07C8">
      <w:pPr>
        <w:rPr>
          <w:lang w:val="es-ES"/>
        </w:rPr>
      </w:pPr>
    </w:p>
    <w:p w:rsidR="002D07C8" w:rsidRPr="00D43DB9" w:rsidRDefault="002D07C8" w:rsidP="002D07C8">
      <w:pPr>
        <w:rPr>
          <w:b/>
          <w:lang w:val="es-ES"/>
        </w:rPr>
      </w:pPr>
      <w:r w:rsidRPr="00D43DB9">
        <w:rPr>
          <w:b/>
          <w:lang w:val="es-ES"/>
        </w:rPr>
        <w:t xml:space="preserve">Outras abreviaturas e siglas </w:t>
      </w:r>
    </w:p>
    <w:p w:rsidR="002D07C8" w:rsidRPr="00D43DB9" w:rsidRDefault="002D07C8" w:rsidP="002D07C8">
      <w:pPr>
        <w:rPr>
          <w:lang w:val="es-ES"/>
        </w:rPr>
      </w:pPr>
    </w:p>
    <w:p w:rsidR="002D07C8" w:rsidRPr="00D43DB9" w:rsidRDefault="002D07C8" w:rsidP="002D07C8">
      <w:pPr>
        <w:rPr>
          <w:lang w:val="es-ES"/>
        </w:rPr>
      </w:pPr>
      <w:r w:rsidRPr="00D43DB9">
        <w:rPr>
          <w:lang w:val="es-ES"/>
        </w:rPr>
        <w:t>CN94 - AR: Constitución de la Nación Argentina, reformada em 1994</w:t>
      </w:r>
    </w:p>
    <w:p w:rsidR="002D07C8" w:rsidRPr="00D43DB9" w:rsidRDefault="002D07C8" w:rsidP="002D07C8">
      <w:pPr>
        <w:rPr>
          <w:lang w:val="es-ES"/>
        </w:rPr>
      </w:pPr>
      <w:r w:rsidRPr="00D43DB9">
        <w:rPr>
          <w:lang w:val="es-ES"/>
        </w:rPr>
        <w:t xml:space="preserve">MREC -AR: </w:t>
      </w:r>
    </w:p>
    <w:p w:rsidR="002D07C8" w:rsidRPr="00D43DB9" w:rsidRDefault="002D07C8" w:rsidP="002D07C8">
      <w:pPr>
        <w:rPr>
          <w:lang w:val="es-ES"/>
        </w:rPr>
      </w:pPr>
      <w:r w:rsidRPr="00D43DB9">
        <w:rPr>
          <w:lang w:val="es-ES"/>
        </w:rPr>
        <w:t>MPCT - BUE: Ministerio de la Producción, Ciencia y Tecnología - Buenos Aires</w:t>
      </w:r>
    </w:p>
    <w:p w:rsidR="002D07C8" w:rsidRPr="00D43DB9" w:rsidRDefault="002D07C8" w:rsidP="002D07C8">
      <w:pPr>
        <w:rPr>
          <w:lang w:val="es-ES"/>
        </w:rPr>
      </w:pPr>
      <w:r w:rsidRPr="00D43DB9">
        <w:rPr>
          <w:lang w:val="es-ES"/>
        </w:rPr>
        <w:t>SREI – BUE: Subsecretaría de Relaciones Económicas Internacionales - Buenos Aires</w:t>
      </w:r>
    </w:p>
    <w:p w:rsidR="002D07C8" w:rsidRPr="00D43DB9" w:rsidRDefault="002D07C8" w:rsidP="002D07C8">
      <w:pPr>
        <w:rPr>
          <w:lang w:val="es-ES"/>
        </w:rPr>
      </w:pPr>
      <w:r w:rsidRPr="00D43DB9">
        <w:rPr>
          <w:lang w:val="es-ES"/>
        </w:rPr>
        <w:t>MS – BUE: Ministerio de Salud - Buenos Aires</w:t>
      </w:r>
    </w:p>
    <w:p w:rsidR="002D07C8" w:rsidRPr="00D43DB9" w:rsidRDefault="002D07C8" w:rsidP="002D07C8">
      <w:pPr>
        <w:rPr>
          <w:lang w:val="es-ES"/>
        </w:rPr>
      </w:pPr>
      <w:r w:rsidRPr="00D43DB9">
        <w:rPr>
          <w:lang w:val="es-ES"/>
        </w:rPr>
        <w:t>UPA 24h – BUE: Unidad de Pronta Atención – Buenos Aires</w:t>
      </w:r>
    </w:p>
    <w:p w:rsidR="002D07C8" w:rsidRPr="00D43DB9" w:rsidRDefault="002D07C8" w:rsidP="002D07C8">
      <w:pPr>
        <w:rPr>
          <w:lang w:val="es-ES"/>
        </w:rPr>
      </w:pPr>
    </w:p>
    <w:p w:rsidR="002D07C8" w:rsidRPr="00D43DB9" w:rsidRDefault="002D07C8" w:rsidP="002D07C8">
      <w:pPr>
        <w:rPr>
          <w:b/>
        </w:rPr>
      </w:pPr>
      <w:r w:rsidRPr="00D43DB9">
        <w:rPr>
          <w:b/>
        </w:rPr>
        <w:t>Brasil</w:t>
      </w:r>
    </w:p>
    <w:p w:rsidR="002D07C8" w:rsidRPr="00D43DB9" w:rsidRDefault="002D07C8" w:rsidP="002D07C8">
      <w:pPr>
        <w:rPr>
          <w:b/>
        </w:rPr>
      </w:pPr>
    </w:p>
    <w:p w:rsidR="002D07C8" w:rsidRPr="00D43DB9" w:rsidRDefault="002D07C8" w:rsidP="002D07C8">
      <w:pPr>
        <w:rPr>
          <w:b/>
        </w:rPr>
      </w:pPr>
      <w:r w:rsidRPr="00D43DB9">
        <w:rPr>
          <w:b/>
        </w:rPr>
        <w:t>Estados</w:t>
      </w:r>
    </w:p>
    <w:p w:rsidR="002D07C8" w:rsidRPr="00D43DB9" w:rsidRDefault="002D07C8" w:rsidP="002D07C8">
      <w:r w:rsidRPr="00D43DB9">
        <w:t>AC: Acre</w:t>
      </w:r>
    </w:p>
    <w:p w:rsidR="002D07C8" w:rsidRPr="00D43DB9" w:rsidRDefault="002D07C8" w:rsidP="002D07C8">
      <w:r w:rsidRPr="00D43DB9">
        <w:t>AL: Alagoas</w:t>
      </w:r>
    </w:p>
    <w:p w:rsidR="002D07C8" w:rsidRPr="00D43DB9" w:rsidRDefault="002D07C8" w:rsidP="002D07C8">
      <w:r w:rsidRPr="00D43DB9">
        <w:t>AM: Amazonas</w:t>
      </w:r>
    </w:p>
    <w:p w:rsidR="002D07C8" w:rsidRPr="00D43DB9" w:rsidRDefault="002D07C8" w:rsidP="002D07C8">
      <w:r w:rsidRPr="00D43DB9">
        <w:t>AP: Amapá</w:t>
      </w:r>
    </w:p>
    <w:p w:rsidR="002D07C8" w:rsidRPr="00D43DB9" w:rsidRDefault="002D07C8" w:rsidP="002D07C8">
      <w:r w:rsidRPr="00D43DB9">
        <w:lastRenderedPageBreak/>
        <w:t>BA: Bahia</w:t>
      </w:r>
    </w:p>
    <w:p w:rsidR="002D07C8" w:rsidRPr="00D43DB9" w:rsidRDefault="002D07C8" w:rsidP="002D07C8">
      <w:r w:rsidRPr="00D43DB9">
        <w:t>CE: Ceará</w:t>
      </w:r>
    </w:p>
    <w:p w:rsidR="002D07C8" w:rsidRPr="00D43DB9" w:rsidRDefault="002D07C8" w:rsidP="002D07C8">
      <w:r w:rsidRPr="00D43DB9">
        <w:t>DF: Distrito Federal</w:t>
      </w:r>
    </w:p>
    <w:p w:rsidR="002D07C8" w:rsidRPr="00D43DB9" w:rsidRDefault="002D07C8" w:rsidP="002D07C8">
      <w:r w:rsidRPr="00D43DB9">
        <w:t>ES: Espírito Santo</w:t>
      </w:r>
    </w:p>
    <w:p w:rsidR="002D07C8" w:rsidRPr="00D43DB9" w:rsidRDefault="002D07C8" w:rsidP="002D07C8">
      <w:r w:rsidRPr="00D43DB9">
        <w:t>GO: Goiás</w:t>
      </w:r>
    </w:p>
    <w:p w:rsidR="002D07C8" w:rsidRPr="00D43DB9" w:rsidRDefault="002D07C8" w:rsidP="002D07C8">
      <w:r w:rsidRPr="00D43DB9">
        <w:t>MA:Maranhão</w:t>
      </w:r>
    </w:p>
    <w:p w:rsidR="002D07C8" w:rsidRPr="00D43DB9" w:rsidRDefault="002D07C8" w:rsidP="002D07C8">
      <w:r w:rsidRPr="00D43DB9">
        <w:t>MG: Minas Gerais</w:t>
      </w:r>
    </w:p>
    <w:p w:rsidR="002D07C8" w:rsidRPr="00D43DB9" w:rsidRDefault="002D07C8" w:rsidP="002D07C8">
      <w:r w:rsidRPr="00D43DB9">
        <w:t>MS: Mato Grosso do Sul</w:t>
      </w:r>
    </w:p>
    <w:p w:rsidR="002D07C8" w:rsidRPr="00D43DB9" w:rsidRDefault="002D07C8" w:rsidP="002D07C8">
      <w:r w:rsidRPr="00D43DB9">
        <w:t>MT: Mato Grosso</w:t>
      </w:r>
    </w:p>
    <w:p w:rsidR="002D07C8" w:rsidRPr="00D43DB9" w:rsidRDefault="002D07C8" w:rsidP="002D07C8">
      <w:r w:rsidRPr="00D43DB9">
        <w:t>PA: Pará</w:t>
      </w:r>
    </w:p>
    <w:p w:rsidR="002D07C8" w:rsidRPr="00D43DB9" w:rsidRDefault="002D07C8" w:rsidP="002D07C8">
      <w:r w:rsidRPr="00D43DB9">
        <w:t>PB: Paraíba</w:t>
      </w:r>
    </w:p>
    <w:p w:rsidR="002D07C8" w:rsidRPr="00D43DB9" w:rsidRDefault="002D07C8" w:rsidP="002D07C8">
      <w:r w:rsidRPr="00D43DB9">
        <w:t>PE: Pernambuco</w:t>
      </w:r>
    </w:p>
    <w:p w:rsidR="002D07C8" w:rsidRPr="00D43DB9" w:rsidRDefault="002D07C8" w:rsidP="002D07C8">
      <w:r w:rsidRPr="00D43DB9">
        <w:t>PI: Piauí</w:t>
      </w:r>
    </w:p>
    <w:p w:rsidR="002D07C8" w:rsidRPr="00D43DB9" w:rsidRDefault="002D07C8" w:rsidP="002D07C8">
      <w:r w:rsidRPr="00D43DB9">
        <w:t>PR: Paraná</w:t>
      </w:r>
    </w:p>
    <w:p w:rsidR="002D07C8" w:rsidRPr="00D43DB9" w:rsidRDefault="002D07C8" w:rsidP="002D07C8">
      <w:r w:rsidRPr="00D43DB9">
        <w:t>RJ: Rio de Janeiro</w:t>
      </w:r>
    </w:p>
    <w:p w:rsidR="002D07C8" w:rsidRPr="00D43DB9" w:rsidRDefault="002D07C8" w:rsidP="002D07C8">
      <w:r w:rsidRPr="00D43DB9">
        <w:t>RN: Rio Grande do Norte</w:t>
      </w:r>
    </w:p>
    <w:p w:rsidR="002D07C8" w:rsidRPr="00D43DB9" w:rsidRDefault="002D07C8" w:rsidP="002D07C8">
      <w:r w:rsidRPr="00D43DB9">
        <w:t>RO: Rondônia</w:t>
      </w:r>
    </w:p>
    <w:p w:rsidR="002D07C8" w:rsidRPr="00D43DB9" w:rsidRDefault="002D07C8" w:rsidP="002D07C8">
      <w:r w:rsidRPr="00D43DB9">
        <w:t>RR: Roraima</w:t>
      </w:r>
    </w:p>
    <w:p w:rsidR="002D07C8" w:rsidRPr="00D43DB9" w:rsidRDefault="002D07C8" w:rsidP="002D07C8">
      <w:r w:rsidRPr="00D43DB9">
        <w:t xml:space="preserve">RS: Rio Grande </w:t>
      </w:r>
      <w:r>
        <w:t>do</w:t>
      </w:r>
      <w:r w:rsidRPr="00D43DB9">
        <w:t xml:space="preserve"> Sul</w:t>
      </w:r>
    </w:p>
    <w:p w:rsidR="002D07C8" w:rsidRPr="00D43DB9" w:rsidRDefault="002D07C8" w:rsidP="002D07C8">
      <w:r w:rsidRPr="00D43DB9">
        <w:t>SC: Santa Catarina</w:t>
      </w:r>
    </w:p>
    <w:p w:rsidR="002D07C8" w:rsidRPr="00D43DB9" w:rsidRDefault="002D07C8" w:rsidP="002D07C8">
      <w:r w:rsidRPr="00D43DB9">
        <w:t>SE: Sergipe</w:t>
      </w:r>
    </w:p>
    <w:p w:rsidR="002D07C8" w:rsidRPr="00D43DB9" w:rsidRDefault="002D07C8" w:rsidP="002D07C8">
      <w:r w:rsidRPr="00D43DB9">
        <w:t>SP: São Paulo</w:t>
      </w:r>
    </w:p>
    <w:p w:rsidR="002D07C8" w:rsidRPr="00D43DB9" w:rsidRDefault="002D07C8" w:rsidP="002D07C8">
      <w:r w:rsidRPr="00D43DB9">
        <w:t>TO: Tocantins</w:t>
      </w:r>
    </w:p>
    <w:p w:rsidR="002D07C8" w:rsidRPr="00D43DB9" w:rsidRDefault="002D07C8" w:rsidP="002D07C8"/>
    <w:p w:rsidR="002D07C8" w:rsidRPr="00D43DB9" w:rsidRDefault="002D07C8" w:rsidP="002D07C8">
      <w:pPr>
        <w:rPr>
          <w:b/>
        </w:rPr>
      </w:pPr>
      <w:r w:rsidRPr="00D43DB9">
        <w:rPr>
          <w:b/>
        </w:rPr>
        <w:t xml:space="preserve">Outras abreviaturas e siglas </w:t>
      </w:r>
    </w:p>
    <w:p w:rsidR="002D07C8" w:rsidRPr="00D43DB9" w:rsidRDefault="002D07C8" w:rsidP="002D07C8"/>
    <w:p w:rsidR="002D07C8" w:rsidRPr="00D43DB9" w:rsidRDefault="002D07C8" w:rsidP="002D07C8">
      <w:r w:rsidRPr="00D43DB9">
        <w:t>CF88 - BR: Constituição da República Federativa do Brasil, promulgada em 1988</w:t>
      </w:r>
    </w:p>
    <w:p w:rsidR="002D07C8" w:rsidRPr="00D43DB9" w:rsidRDefault="002D07C8" w:rsidP="002D07C8">
      <w:r w:rsidRPr="00D43DB9">
        <w:t>MRE - BR: Ministério das Relações Exteriores – Governo Federal</w:t>
      </w:r>
    </w:p>
    <w:p w:rsidR="002D07C8" w:rsidRPr="00D43DB9" w:rsidRDefault="002D07C8" w:rsidP="002D07C8">
      <w:r w:rsidRPr="00D43DB9">
        <w:t>MS – BR : Ministério da Saúde – Governo Federal</w:t>
      </w:r>
    </w:p>
    <w:p w:rsidR="002D07C8" w:rsidRPr="00D43DB9" w:rsidRDefault="002D07C8" w:rsidP="002D07C8">
      <w:r w:rsidRPr="00D43DB9">
        <w:t>SCC - RJ: Secretaria da Casa Civil – Rio de Janeiro</w:t>
      </w:r>
    </w:p>
    <w:p w:rsidR="002D07C8" w:rsidRPr="00D43DB9" w:rsidRDefault="002D07C8" w:rsidP="002D07C8">
      <w:r w:rsidRPr="00D43DB9">
        <w:t>SSRI - RJ: Subsecretaria de Relações Internacionais – Rio de Janeiro</w:t>
      </w:r>
    </w:p>
    <w:p w:rsidR="002D07C8" w:rsidRPr="00D43DB9" w:rsidRDefault="002D07C8" w:rsidP="002D07C8">
      <w:r w:rsidRPr="00D43DB9">
        <w:t xml:space="preserve">SES - RJ: Secretaria de Estado de Saúde – Rio de Janeiro </w:t>
      </w:r>
    </w:p>
    <w:p w:rsidR="002D07C8" w:rsidRPr="00D43DB9" w:rsidRDefault="002D07C8" w:rsidP="002D07C8">
      <w:r w:rsidRPr="00D43DB9">
        <w:t>UPA 24h – RJ: Unidade de Pronto Atendimento – Rio de Janeiro</w:t>
      </w:r>
    </w:p>
    <w:p w:rsidR="002D07C8" w:rsidRPr="00D43DB9" w:rsidRDefault="002D07C8" w:rsidP="002D07C8">
      <w:r w:rsidRPr="00D43DB9">
        <w:t xml:space="preserve">AFEPA – BR : Assessoria Especial de Assuntos Federativos e Parlamentares </w:t>
      </w:r>
    </w:p>
    <w:p w:rsidR="002D07C8" w:rsidRPr="00D43DB9" w:rsidRDefault="002D07C8" w:rsidP="002D07C8">
      <w:pPr>
        <w:rPr>
          <w:b/>
        </w:rPr>
      </w:pPr>
    </w:p>
    <w:p w:rsidR="002D07C8" w:rsidRPr="00D43DB9" w:rsidRDefault="002D07C8" w:rsidP="002D07C8">
      <w:pPr>
        <w:rPr>
          <w:b/>
        </w:rPr>
      </w:pPr>
    </w:p>
    <w:p w:rsidR="002D07C8" w:rsidRPr="00D43DB9" w:rsidRDefault="002D07C8" w:rsidP="002D07C8">
      <w:pPr>
        <w:rPr>
          <w:b/>
        </w:rPr>
      </w:pPr>
    </w:p>
    <w:p w:rsidR="002D07C8" w:rsidRPr="00D43DB9" w:rsidRDefault="002D07C8" w:rsidP="002D07C8">
      <w:pPr>
        <w:rPr>
          <w:b/>
        </w:rPr>
      </w:pPr>
    </w:p>
    <w:p w:rsidR="002D07C8" w:rsidRPr="00D43DB9" w:rsidRDefault="002D07C8" w:rsidP="002D07C8">
      <w:pPr>
        <w:jc w:val="center"/>
        <w:rPr>
          <w:b/>
          <w:sz w:val="40"/>
        </w:rPr>
      </w:pPr>
    </w:p>
    <w:p w:rsidR="002D07C8" w:rsidRPr="00D43DB9" w:rsidRDefault="002D07C8" w:rsidP="002D07C8">
      <w:pPr>
        <w:jc w:val="center"/>
        <w:rPr>
          <w:b/>
          <w:sz w:val="40"/>
        </w:rPr>
      </w:pPr>
    </w:p>
    <w:p w:rsidR="002D07C8" w:rsidRDefault="002D07C8" w:rsidP="002D07C8">
      <w:pPr>
        <w:jc w:val="center"/>
        <w:rPr>
          <w:b/>
        </w:rPr>
      </w:pPr>
    </w:p>
    <w:p w:rsidR="002D07C8" w:rsidRDefault="002D07C8" w:rsidP="002D07C8">
      <w:pPr>
        <w:jc w:val="center"/>
        <w:rPr>
          <w:b/>
        </w:rPr>
      </w:pPr>
    </w:p>
    <w:p w:rsidR="002D07C8" w:rsidRDefault="002D07C8"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E7B74" w:rsidRDefault="002E7B74" w:rsidP="002D07C8">
      <w:pPr>
        <w:jc w:val="center"/>
        <w:rPr>
          <w:b/>
        </w:rPr>
      </w:pPr>
    </w:p>
    <w:p w:rsidR="002D07C8" w:rsidRDefault="002D07C8" w:rsidP="002D07C8">
      <w:pPr>
        <w:jc w:val="center"/>
        <w:rPr>
          <w:b/>
        </w:rPr>
      </w:pPr>
    </w:p>
    <w:p w:rsidR="002D07C8" w:rsidRPr="00D43DB9" w:rsidRDefault="002D07C8" w:rsidP="002D07C8">
      <w:pPr>
        <w:rPr>
          <w:b/>
        </w:rPr>
      </w:pPr>
      <w:r w:rsidRPr="00D43DB9">
        <w:rPr>
          <w:b/>
        </w:rPr>
        <w:lastRenderedPageBreak/>
        <w:t>INTRODUÇÃO</w:t>
      </w:r>
    </w:p>
    <w:p w:rsidR="002D07C8" w:rsidRDefault="002D07C8" w:rsidP="002D07C8">
      <w:pPr>
        <w:spacing w:line="360" w:lineRule="auto"/>
        <w:ind w:firstLine="708"/>
        <w:jc w:val="both"/>
      </w:pPr>
    </w:p>
    <w:p w:rsidR="002D07C8" w:rsidRDefault="002D07C8" w:rsidP="003663A6">
      <w:pPr>
        <w:spacing w:line="360" w:lineRule="auto"/>
        <w:ind w:firstLine="708"/>
        <w:jc w:val="both"/>
      </w:pPr>
      <w:r w:rsidRPr="000A41C1">
        <w:t>A Unidade de Pronto Atendimento (UPA 24H</w:t>
      </w:r>
      <w:r w:rsidR="00A16AD6">
        <w:t xml:space="preserve"> - RJ</w:t>
      </w:r>
      <w:r w:rsidRPr="000A41C1">
        <w:t xml:space="preserve">) </w:t>
      </w:r>
      <w:r w:rsidR="00FC79F3">
        <w:t xml:space="preserve">é </w:t>
      </w:r>
      <w:r>
        <w:t xml:space="preserve">uma política </w:t>
      </w:r>
      <w:r w:rsidR="00A51813">
        <w:t>pública</w:t>
      </w:r>
      <w:r w:rsidR="004338F7">
        <w:t xml:space="preserve"> </w:t>
      </w:r>
      <w:r>
        <w:t xml:space="preserve">no campo da saúde pública posta em ação pelo Governo do Estado do Rio de Janeiro. O programa </w:t>
      </w:r>
      <w:r w:rsidRPr="000A41C1">
        <w:t xml:space="preserve">ficou à cargo da Secretaria de Estado de Saúde </w:t>
      </w:r>
      <w:r>
        <w:t>(</w:t>
      </w:r>
      <w:r w:rsidRPr="000A41C1">
        <w:t>SES</w:t>
      </w:r>
      <w:r>
        <w:t xml:space="preserve">)do </w:t>
      </w:r>
      <w:r w:rsidR="00A51813">
        <w:t>E</w:t>
      </w:r>
      <w:r>
        <w:t>stado e a primeira unidade foi instalada na</w:t>
      </w:r>
      <w:r w:rsidRPr="000A41C1">
        <w:t xml:space="preserve"> comunidade da Maré</w:t>
      </w:r>
      <w:r w:rsidR="00E33AD3">
        <w:t xml:space="preserve"> </w:t>
      </w:r>
      <w:r w:rsidR="003663A6">
        <w:t>no ano de 2007</w:t>
      </w:r>
      <w:r w:rsidRPr="000A41C1">
        <w:rPr>
          <w:shd w:val="clear" w:color="auto" w:fill="FFFFFF"/>
        </w:rPr>
        <w:t>.</w:t>
      </w:r>
      <w:r>
        <w:t xml:space="preserve">De acordo com </w:t>
      </w:r>
      <w:r w:rsidRPr="00D70593">
        <w:t>as diretrizes do programa</w:t>
      </w:r>
      <w:r w:rsidR="009571A3">
        <w:t xml:space="preserve">, </w:t>
      </w:r>
      <w:r>
        <w:t xml:space="preserve">um dos objetivos do </w:t>
      </w:r>
      <w:r w:rsidRPr="00D70593">
        <w:t xml:space="preserve">atendimento de saúde </w:t>
      </w:r>
      <w:r>
        <w:t xml:space="preserve">nessas unidades </w:t>
      </w:r>
      <w:r w:rsidR="008B179D">
        <w:t xml:space="preserve">é  fundamentalmente </w:t>
      </w:r>
      <w:r>
        <w:t>dar atenção a casos de média complexidade e se, caso necessário, os</w:t>
      </w:r>
      <w:r w:rsidR="004338F7">
        <w:t xml:space="preserve"> </w:t>
      </w:r>
      <w:r>
        <w:t xml:space="preserve">atendimentos identificados como de </w:t>
      </w:r>
      <w:r w:rsidRPr="00D70593">
        <w:t>mai</w:t>
      </w:r>
      <w:r>
        <w:t>or</w:t>
      </w:r>
      <w:r w:rsidRPr="00D70593">
        <w:t xml:space="preserve"> grav</w:t>
      </w:r>
      <w:r>
        <w:t>idade</w:t>
      </w:r>
      <w:r w:rsidR="004338F7">
        <w:t xml:space="preserve"> </w:t>
      </w:r>
      <w:r>
        <w:t>são encaminhados para os hospitais</w:t>
      </w:r>
      <w:r w:rsidR="0007296D">
        <w:t xml:space="preserve"> </w:t>
      </w:r>
      <w:r w:rsidR="00145B99">
        <w:t>baseados na</w:t>
      </w:r>
      <w:r w:rsidR="003663A6">
        <w:t xml:space="preserve"> dinâmica de integração dos serviços de saúde no Estado </w:t>
      </w:r>
      <w:r w:rsidR="00145B99">
        <w:t xml:space="preserve">do Rio de Janeiro </w:t>
      </w:r>
      <w:r w:rsidRPr="000A41C1">
        <w:t>(</w:t>
      </w:r>
      <w:r w:rsidRPr="000A41C1">
        <w:rPr>
          <w:shd w:val="clear" w:color="auto" w:fill="FFFFFF"/>
        </w:rPr>
        <w:t>LIMA, et al 2015)</w:t>
      </w:r>
      <w:r w:rsidR="003663A6">
        <w:rPr>
          <w:shd w:val="clear" w:color="auto" w:fill="FFFFFF"/>
        </w:rPr>
        <w:t>.</w:t>
      </w:r>
    </w:p>
    <w:p w:rsidR="002D07C8" w:rsidRDefault="00A5759E" w:rsidP="002D07C8">
      <w:pPr>
        <w:spacing w:line="360" w:lineRule="auto"/>
        <w:ind w:firstLine="708"/>
        <w:jc w:val="both"/>
        <w:rPr>
          <w:shd w:val="clear" w:color="auto" w:fill="FFFFFF"/>
        </w:rPr>
      </w:pPr>
      <w:r>
        <w:t>Já e</w:t>
      </w:r>
      <w:r w:rsidR="002D07C8">
        <w:t>m termos de localização</w:t>
      </w:r>
      <w:r w:rsidR="00967F51">
        <w:t xml:space="preserve"> geográfica</w:t>
      </w:r>
      <w:r w:rsidR="002D07C8">
        <w:t xml:space="preserve">, </w:t>
      </w:r>
      <w:r w:rsidR="002D07C8" w:rsidRPr="00D70593">
        <w:t>Lima e tal (2015</w:t>
      </w:r>
      <w:r w:rsidR="00C74CFE">
        <w:t xml:space="preserve"> p. 13</w:t>
      </w:r>
      <w:r w:rsidR="002D07C8" w:rsidRPr="00D70593">
        <w:t xml:space="preserve">) </w:t>
      </w:r>
      <w:r w:rsidR="002D07C8">
        <w:t>apontam que “</w:t>
      </w:r>
      <w:r w:rsidR="002D07C8" w:rsidRPr="00D70593">
        <w:t>foram priorizadas as áreas com ‘vazios assistenciais’, próximas a hospitais e vias de intensa circulação, com o objetivo de ampliar o acesso aos serviços de saúde pela po</w:t>
      </w:r>
      <w:r w:rsidR="002D07C8" w:rsidRPr="00D70593">
        <w:softHyphen/>
        <w:t xml:space="preserve">pulação”. </w:t>
      </w:r>
      <w:r w:rsidR="002D07C8">
        <w:t xml:space="preserve">Já em relação a </w:t>
      </w:r>
      <w:r w:rsidR="00967F51">
        <w:t>infraestrutura</w:t>
      </w:r>
      <w:r w:rsidR="002D07C8">
        <w:t xml:space="preserve"> que deu suporte a implementação da política pública, o</w:t>
      </w:r>
      <w:r w:rsidR="002D07C8" w:rsidRPr="00D70593">
        <w:t xml:space="preserve">s autores </w:t>
      </w:r>
      <w:r w:rsidR="002D07C8">
        <w:t xml:space="preserve">indicam que </w:t>
      </w:r>
      <w:r w:rsidR="002D07C8" w:rsidRPr="00D70593">
        <w:t xml:space="preserve">a adoção de contêineres modulares favoreceu a implantação </w:t>
      </w:r>
      <w:r w:rsidR="002D07C8">
        <w:t xml:space="preserve">do programa </w:t>
      </w:r>
      <w:r w:rsidR="002D07C8" w:rsidRPr="00D70593">
        <w:t>e</w:t>
      </w:r>
      <w:r w:rsidR="002D07C8">
        <w:t xml:space="preserve"> a</w:t>
      </w:r>
      <w:r w:rsidR="002D07C8" w:rsidRPr="00D70593">
        <w:t xml:space="preserve"> subsequente prestação dos serviços.</w:t>
      </w:r>
      <w:r w:rsidR="002D07C8">
        <w:t xml:space="preserve"> Ainda nesse aspecto, a</w:t>
      </w:r>
      <w:r w:rsidR="002D07C8" w:rsidRPr="00D70593">
        <w:t>s U</w:t>
      </w:r>
      <w:r w:rsidR="002D07C8">
        <w:t xml:space="preserve">nidades de </w:t>
      </w:r>
      <w:r w:rsidR="002D07C8" w:rsidRPr="00D70593">
        <w:t>P</w:t>
      </w:r>
      <w:r w:rsidR="002D07C8">
        <w:t xml:space="preserve">ronto </w:t>
      </w:r>
      <w:r w:rsidR="002D07C8" w:rsidRPr="00D70593">
        <w:t>A</w:t>
      </w:r>
      <w:r w:rsidR="002D07C8">
        <w:t>tendimento, doravante (UPA</w:t>
      </w:r>
      <w:r w:rsidR="00A16AD6">
        <w:t xml:space="preserve"> 24H </w:t>
      </w:r>
      <w:r w:rsidR="002D07C8">
        <w:t>-RJ)</w:t>
      </w:r>
      <w:r w:rsidR="002D07C8" w:rsidRPr="00D70593">
        <w:t xml:space="preserve">contam com espaço dedicado ao acolhimento onde </w:t>
      </w:r>
      <w:r w:rsidR="002D07C8">
        <w:t xml:space="preserve">é determinada a </w:t>
      </w:r>
      <w:r w:rsidR="002D07C8" w:rsidRPr="00D70593">
        <w:t>classificação de risco</w:t>
      </w:r>
      <w:r w:rsidR="002D07C8">
        <w:t xml:space="preserve"> dos usuários e em termos de atendimento dispõe de oferta de </w:t>
      </w:r>
      <w:r w:rsidR="002D07C8" w:rsidRPr="00D70593">
        <w:t xml:space="preserve">exames laboratoriais e de raios-X bem como sala vermelha em que são atendidos os casos mais graves; leitos de observação pediátrica e </w:t>
      </w:r>
      <w:r w:rsidR="00EE4ECA" w:rsidRPr="00D70593">
        <w:t>clínica</w:t>
      </w:r>
      <w:r w:rsidR="002D07C8" w:rsidRPr="00D70593">
        <w:t xml:space="preserve">. </w:t>
      </w:r>
      <w:r w:rsidR="002D07C8" w:rsidRPr="00D70593">
        <w:rPr>
          <w:shd w:val="clear" w:color="auto" w:fill="FFFFFF"/>
        </w:rPr>
        <w:t>(GOVERNO DO ESTADO DO RIO DE JANEIRO</w:t>
      </w:r>
      <w:r w:rsidR="002D07C8">
        <w:rPr>
          <w:shd w:val="clear" w:color="auto" w:fill="FFFFFF"/>
        </w:rPr>
        <w:t>, 2012</w:t>
      </w:r>
      <w:r w:rsidR="002D07C8" w:rsidRPr="00D70593">
        <w:rPr>
          <w:shd w:val="clear" w:color="auto" w:fill="FFFFFF"/>
        </w:rPr>
        <w:t>).</w:t>
      </w:r>
    </w:p>
    <w:p w:rsidR="002E272D" w:rsidRDefault="002D07C8" w:rsidP="002E272D">
      <w:pPr>
        <w:spacing w:line="360" w:lineRule="auto"/>
        <w:ind w:firstLine="708"/>
        <w:jc w:val="both"/>
      </w:pPr>
      <w:r w:rsidRPr="00D70593">
        <w:t xml:space="preserve">A </w:t>
      </w:r>
      <w:r>
        <w:t xml:space="preserve">trajetória da </w:t>
      </w:r>
      <w:r w:rsidRPr="00D70593">
        <w:t>UPA 24H</w:t>
      </w:r>
      <w:r>
        <w:t xml:space="preserve"> no Brasil contou com </w:t>
      </w:r>
      <w:r w:rsidR="00EE4ECA">
        <w:t>a elaboração de um</w:t>
      </w:r>
      <w:r>
        <w:t xml:space="preserve"> processo de normatização </w:t>
      </w:r>
      <w:r w:rsidR="00EE4ECA">
        <w:t>a partir de</w:t>
      </w:r>
      <w:r>
        <w:t xml:space="preserve"> um conjunto de portarias por parte do </w:t>
      </w:r>
      <w:r w:rsidRPr="00D70593">
        <w:t>Ministério da Saúde</w:t>
      </w:r>
      <w:r w:rsidR="00EE4ECA">
        <w:t>,</w:t>
      </w:r>
      <w:r>
        <w:t xml:space="preserve"> passando a integrar à </w:t>
      </w:r>
      <w:r>
        <w:rPr>
          <w:color w:val="212121"/>
        </w:rPr>
        <w:t xml:space="preserve">Política Nacional de Urgência (PNAU) e contando assim com o papel indutor do governo federal em termos da adoção do programa em outras unidades subnacionais pelo país. Nessa esteira, </w:t>
      </w:r>
      <w:r w:rsidRPr="00D70593">
        <w:t>o projeto também te</w:t>
      </w:r>
      <w:r>
        <w:t xml:space="preserve">ria </w:t>
      </w:r>
      <w:r w:rsidRPr="00D70593">
        <w:t xml:space="preserve">a sua </w:t>
      </w:r>
      <w:r>
        <w:t xml:space="preserve">“transplantação” para </w:t>
      </w:r>
      <w:r w:rsidRPr="00D70593">
        <w:t>a Província de Buenos Aires</w:t>
      </w:r>
      <w:r>
        <w:t xml:space="preserve"> (PBA)</w:t>
      </w:r>
      <w:r w:rsidRPr="00D70593">
        <w:t xml:space="preserve"> – Argentina</w:t>
      </w:r>
      <w:r>
        <w:t xml:space="preserve"> (AR)</w:t>
      </w:r>
      <w:r w:rsidR="004338F7">
        <w:t xml:space="preserve"> </w:t>
      </w:r>
      <w:r>
        <w:t xml:space="preserve">sob o signo de </w:t>
      </w:r>
      <w:r w:rsidRPr="00CF1647">
        <w:rPr>
          <w:i/>
        </w:rPr>
        <w:t>Unidad de Pronta Atención</w:t>
      </w:r>
      <w:r w:rsidR="00801A37">
        <w:rPr>
          <w:i/>
        </w:rPr>
        <w:t xml:space="preserve"> </w:t>
      </w:r>
      <w:r w:rsidR="00980B56" w:rsidRPr="00980B56">
        <w:t>(UPA 24H – BUE)</w:t>
      </w:r>
      <w:r w:rsidRPr="00D70593">
        <w:t>.</w:t>
      </w:r>
      <w:r w:rsidRPr="00E75640">
        <w:t>A Unidad</w:t>
      </w:r>
      <w:r>
        <w:t>e</w:t>
      </w:r>
      <w:r w:rsidRPr="00E75640">
        <w:t xml:space="preserve"> de Pront</w:t>
      </w:r>
      <w:r>
        <w:t>o</w:t>
      </w:r>
      <w:r w:rsidRPr="00E75640">
        <w:t xml:space="preserve"> Aten</w:t>
      </w:r>
      <w:r>
        <w:t xml:space="preserve">dimento </w:t>
      </w:r>
      <w:r w:rsidRPr="00E75640">
        <w:t xml:space="preserve">esteve no radar de interesse </w:t>
      </w:r>
      <w:r>
        <w:t>internacional, no caso da P</w:t>
      </w:r>
      <w:r w:rsidR="00A16DAE">
        <w:t>B</w:t>
      </w:r>
      <w:r>
        <w:t xml:space="preserve">A, a partir </w:t>
      </w:r>
      <w:r w:rsidRPr="00E75640">
        <w:t>da visita do Governador Daniel Scioli</w:t>
      </w:r>
      <w:r w:rsidR="00801A37">
        <w:t xml:space="preserve"> </w:t>
      </w:r>
      <w:r w:rsidRPr="00E75640">
        <w:t>(2007 – 2015) ao Estado do Rio de Janeiro no ano de 2010</w:t>
      </w:r>
      <w:r w:rsidR="002E272D" w:rsidRPr="000A41C1">
        <w:t>(</w:t>
      </w:r>
      <w:r w:rsidR="002E272D" w:rsidRPr="000A41C1">
        <w:rPr>
          <w:shd w:val="clear" w:color="auto" w:fill="FFFFFF"/>
        </w:rPr>
        <w:t>LIMA, et al 2015)</w:t>
      </w:r>
      <w:r w:rsidR="002E272D">
        <w:rPr>
          <w:shd w:val="clear" w:color="auto" w:fill="FFFFFF"/>
        </w:rPr>
        <w:t>.</w:t>
      </w:r>
    </w:p>
    <w:p w:rsidR="00EE32F2" w:rsidRDefault="002D07C8" w:rsidP="002D07C8">
      <w:pPr>
        <w:spacing w:line="360" w:lineRule="auto"/>
        <w:ind w:firstLine="708"/>
        <w:jc w:val="both"/>
      </w:pPr>
      <w:r>
        <w:t xml:space="preserve">Inicialmente é necessário considerar que Evans e Davies (1999 p.361) pontuam que “o estudo da transferência de políticas tem um caráter verdadeiramente multidisciplinar” e que para Stone (1999 p. 51) essa literatura “é uma ferramenta </w:t>
      </w:r>
      <w:r>
        <w:lastRenderedPageBreak/>
        <w:t>analítica útil para integrar debates dentro das Políticas Públicas Comparadas e Relações Internacionais que possam contribuir para um ‘estudo de políticas globais”. No mesmo sentido, Dolowitz e Marsh (2000 p.5) declaram, o debate sobre a transferência “é um fenômeno crescente, é algo que qualquer pessoa que estuda políticas pública</w:t>
      </w:r>
      <w:r w:rsidR="00215072">
        <w:t>s precisa considerar”. Com isso</w:t>
      </w:r>
      <w:r w:rsidR="00980914">
        <w:t xml:space="preserve"> </w:t>
      </w:r>
      <w:r w:rsidR="00837B6F">
        <w:t>um</w:t>
      </w:r>
      <w:r>
        <w:t xml:space="preserve">a “vasta literatura </w:t>
      </w:r>
      <w:r w:rsidR="00CE2EAC">
        <w:t>tê</w:t>
      </w:r>
      <w:r>
        <w:t xml:space="preserve">m atraído à atenção acadêmica significativa de cientistas políticos, analistas de política comparada e estudiosos das relações internacionais” (EVANS, 2009). </w:t>
      </w:r>
    </w:p>
    <w:p w:rsidR="00215072" w:rsidRDefault="002D07C8" w:rsidP="002D07C8">
      <w:pPr>
        <w:spacing w:line="360" w:lineRule="auto"/>
        <w:ind w:firstLine="708"/>
        <w:jc w:val="both"/>
      </w:pPr>
      <w:r>
        <w:t>Ainda que a literatura especializada tenha identificado o adensamento do interesse sobre o fenômeno, um</w:t>
      </w:r>
      <w:r w:rsidR="008A5C8F">
        <w:t xml:space="preserve"> desafio tem resistido, a saber, </w:t>
      </w:r>
      <w:r w:rsidR="00CE2EAC">
        <w:t>a necessidade de se desenvolver um</w:t>
      </w:r>
      <w:r w:rsidR="0040386A">
        <w:t xml:space="preserve"> </w:t>
      </w:r>
      <w:r>
        <w:t xml:space="preserve">“idioma comum ou um discurso teórico ou metodológico unificado a partir do qual se pode extrair lições e desenvolver hipóteses” (EVANS E DAVIES, 1999: 361). Ademais, os autores </w:t>
      </w:r>
      <w:r w:rsidRPr="00BE503E">
        <w:t xml:space="preserve">consideram que para o avanço da agenda </w:t>
      </w:r>
      <w:r>
        <w:t>as n</w:t>
      </w:r>
      <w:r w:rsidRPr="00BE503E">
        <w:t>ovas hipóteses extraídas da abordagem</w:t>
      </w:r>
      <w:r>
        <w:t xml:space="preserve"> de transferência de políticas “</w:t>
      </w:r>
      <w:r w:rsidRPr="00BE503E">
        <w:t>devem ser articuladas de forma sistemática e submetidas a testes empíricos</w:t>
      </w:r>
      <w:r>
        <w:rPr>
          <w:lang w:eastAsia="en-US"/>
        </w:rPr>
        <w:t xml:space="preserve">” </w:t>
      </w:r>
      <w:r w:rsidRPr="00287058">
        <w:rPr>
          <w:lang w:eastAsia="en-US"/>
        </w:rPr>
        <w:t>(</w:t>
      </w:r>
      <w:r w:rsidRPr="00287058">
        <w:t>EVANS E DAVIES, 1999)</w:t>
      </w:r>
      <w:r w:rsidR="002E7019">
        <w:t>.</w:t>
      </w:r>
      <w:r>
        <w:t xml:space="preserve">Em termos conceituais partimos da </w:t>
      </w:r>
      <w:r w:rsidR="0036368D">
        <w:t>ideia</w:t>
      </w:r>
      <w:r>
        <w:t xml:space="preserve"> de que a transferência de políticas públicas </w:t>
      </w:r>
      <w:r w:rsidR="00BE0272">
        <w:t>se refere</w:t>
      </w:r>
      <w:r>
        <w:t xml:space="preserve"> ao processo</w:t>
      </w:r>
      <w:r w:rsidRPr="00785856">
        <w:t xml:space="preserve"> “no qual o aprendizado de políticas, arranjos administrativos, instituições etc. em um tempo e/ou lugar são usados no desenvolvimento de políticas, arranjos administrativos em outro tempo e/ou lugar” (DOLOWITZ &amp; MARSH, 2000: 5. tradução nossa).</w:t>
      </w:r>
    </w:p>
    <w:p w:rsidR="002D07C8" w:rsidRDefault="002D07C8" w:rsidP="002D07C8">
      <w:pPr>
        <w:spacing w:line="360" w:lineRule="auto"/>
        <w:ind w:firstLine="708"/>
        <w:jc w:val="both"/>
      </w:pPr>
      <w:r>
        <w:t>Não obstante, em direção a adoção de um modelo de análise</w:t>
      </w:r>
      <w:r w:rsidR="00987BC8">
        <w:t xml:space="preserve"> adotamos o </w:t>
      </w:r>
      <w:r>
        <w:t xml:space="preserve">Modelo </w:t>
      </w:r>
      <w:r w:rsidR="0036368D">
        <w:t>Multinível</w:t>
      </w:r>
      <w:r>
        <w:t xml:space="preserve"> de Evans (1999).</w:t>
      </w:r>
      <w:r w:rsidR="00987BC8">
        <w:t>Cabe apontar que, e</w:t>
      </w:r>
      <w:r w:rsidR="00F33D31" w:rsidRPr="00F33D31">
        <w:t>mbora considere</w:t>
      </w:r>
      <w:r w:rsidR="00987BC8">
        <w:t>mos</w:t>
      </w:r>
      <w:r w:rsidR="00F33D31" w:rsidRPr="00F33D31">
        <w:t xml:space="preserve"> o impacto de distintos níveis na dinâmica de transferência de políticas</w:t>
      </w:r>
      <w:r w:rsidR="00BE0272">
        <w:t>,</w:t>
      </w:r>
      <w:r w:rsidR="00F33D31" w:rsidRPr="00F33D31">
        <w:t xml:space="preserve"> nosso foco recairá sobr</w:t>
      </w:r>
      <w:r w:rsidR="00BE0272">
        <w:t>e determinante</w:t>
      </w:r>
      <w:r w:rsidR="00987BC8">
        <w:t xml:space="preserve"> político – institucional </w:t>
      </w:r>
      <w:r w:rsidR="00BE0272">
        <w:t xml:space="preserve">doméstica </w:t>
      </w:r>
      <w:r w:rsidR="00987BC8">
        <w:t xml:space="preserve">e sua relação com a </w:t>
      </w:r>
      <w:r w:rsidR="00F33D31" w:rsidRPr="00F33D31">
        <w:t>“</w:t>
      </w:r>
      <w:r w:rsidR="00BE0272">
        <w:t>trans</w:t>
      </w:r>
      <w:r w:rsidR="00987BC8">
        <w:t>ferência”</w:t>
      </w:r>
      <w:r w:rsidR="00C949B3">
        <w:t xml:space="preserve"> da</w:t>
      </w:r>
      <w:r w:rsidR="00F33D31" w:rsidRPr="00F33D31">
        <w:t xml:space="preserve"> Unidade de Pronto Atendimento (UPA). Nesse pont</w:t>
      </w:r>
      <w:r w:rsidR="00A21AB4">
        <w:t>o</w:t>
      </w:r>
      <w:r w:rsidR="00F33D31" w:rsidRPr="00F33D31">
        <w:t xml:space="preserve">, pretendemos abrir uma agenda de pesquisa que permita dar suporte </w:t>
      </w:r>
      <w:r w:rsidR="00BE0272">
        <w:t xml:space="preserve">tanto em relação </w:t>
      </w:r>
      <w:r w:rsidR="00F33D31" w:rsidRPr="00F33D31">
        <w:t xml:space="preserve">a investigação da dimensão internacional e </w:t>
      </w:r>
      <w:r w:rsidR="00BE0272">
        <w:t xml:space="preserve">como </w:t>
      </w:r>
      <w:r w:rsidR="00F33D31" w:rsidRPr="00F33D31">
        <w:t>ao nível de processo do fenômeno investigado.</w:t>
      </w:r>
    </w:p>
    <w:p w:rsidR="001E407B" w:rsidRDefault="004E4066" w:rsidP="001E407B">
      <w:pPr>
        <w:spacing w:line="360" w:lineRule="auto"/>
        <w:ind w:firstLine="708"/>
        <w:jc w:val="both"/>
      </w:pPr>
      <w:r>
        <w:t>Cabe apontar que a</w:t>
      </w:r>
      <w:r w:rsidRPr="001517B9">
        <w:t xml:space="preserve"> presente </w:t>
      </w:r>
      <w:r>
        <w:t xml:space="preserve">pesquisa </w:t>
      </w:r>
      <w:r w:rsidRPr="001517B9">
        <w:t xml:space="preserve">tem por </w:t>
      </w:r>
      <w:r>
        <w:t xml:space="preserve">principal </w:t>
      </w:r>
      <w:r w:rsidRPr="001517B9">
        <w:t>ob</w:t>
      </w:r>
      <w:r>
        <w:softHyphen/>
      </w:r>
      <w:r>
        <w:softHyphen/>
      </w:r>
      <w:r w:rsidRPr="001517B9">
        <w:t>jetivo investigar</w:t>
      </w:r>
      <w:r>
        <w:t xml:space="preserve">:qual o determinante político – institucional doméstico – Brasil e na Argentina – e quais seus </w:t>
      </w:r>
      <w:r w:rsidRPr="00D347E5">
        <w:t>impact</w:t>
      </w:r>
      <w:r>
        <w:t xml:space="preserve">os no processo de </w:t>
      </w:r>
      <w:r w:rsidRPr="00D347E5">
        <w:t xml:space="preserve">transferência </w:t>
      </w:r>
      <w:r>
        <w:t xml:space="preserve">internacional </w:t>
      </w:r>
      <w:r w:rsidRPr="00D347E5">
        <w:t>da Unidade de Pronto Atendimento</w:t>
      </w:r>
      <w:r>
        <w:t xml:space="preserve"> (UPA-RJ) do Estado do Rio de Janeiro para a Província de Buenos Aires?</w:t>
      </w:r>
    </w:p>
    <w:p w:rsidR="001E407B" w:rsidRDefault="001E407B" w:rsidP="001E407B">
      <w:pPr>
        <w:spacing w:line="360" w:lineRule="auto"/>
        <w:ind w:firstLine="708"/>
        <w:jc w:val="both"/>
      </w:pPr>
      <w:r>
        <w:t xml:space="preserve">Nossa hipótese considera que a “racionalização da política exterior” (SOLDATOS, 1990) como variável político – institucional doméstica (endógena) favoreceu a relação intergovernamental entre as unidades subnacionais e o governo central nos dois países ao configurar como uma relação de </w:t>
      </w:r>
      <w:r w:rsidRPr="00AE1D64">
        <w:rPr>
          <w:i/>
        </w:rPr>
        <w:t>segmentação cooperativa</w:t>
      </w:r>
      <w:r>
        <w:t xml:space="preserve"> e </w:t>
      </w:r>
      <w:r>
        <w:lastRenderedPageBreak/>
        <w:t xml:space="preserve">como consequência contribuiu para o diálogo entre a Província de Buenos Aires e o Estado do Rio de Janeiro. </w:t>
      </w:r>
      <w:r w:rsidR="00206DF6">
        <w:t xml:space="preserve">Adotamos o conceito de </w:t>
      </w:r>
      <w:r>
        <w:t>Soldatos (1990) o</w:t>
      </w:r>
      <w:r w:rsidR="00206DF6">
        <w:t>nde</w:t>
      </w:r>
      <w:r w:rsidR="004338F7">
        <w:t xml:space="preserve"> </w:t>
      </w:r>
      <w:r w:rsidR="00206DF6">
        <w:t xml:space="preserve">o </w:t>
      </w:r>
      <w:r>
        <w:t>conceito refere-se ao</w:t>
      </w:r>
      <w:r w:rsidR="00206DF6">
        <w:rPr>
          <w:bCs/>
          <w:color w:val="000000"/>
        </w:rPr>
        <w:t xml:space="preserve"> fato dos </w:t>
      </w:r>
      <w:r>
        <w:rPr>
          <w:bCs/>
          <w:color w:val="000000"/>
        </w:rPr>
        <w:t xml:space="preserve">governos federais </w:t>
      </w:r>
      <w:r w:rsidRPr="00206DF6">
        <w:rPr>
          <w:bCs/>
          <w:i/>
          <w:color w:val="000000"/>
        </w:rPr>
        <w:t xml:space="preserve">aceitarem ou mesmo </w:t>
      </w:r>
      <w:r w:rsidR="00206DF6">
        <w:rPr>
          <w:bCs/>
          <w:i/>
          <w:color w:val="000000"/>
        </w:rPr>
        <w:t xml:space="preserve">validarem </w:t>
      </w:r>
      <w:r w:rsidRPr="00206DF6">
        <w:rPr>
          <w:bCs/>
          <w:i/>
          <w:color w:val="000000"/>
        </w:rPr>
        <w:t>o pape</w:t>
      </w:r>
      <w:r w:rsidR="00206DF6">
        <w:rPr>
          <w:bCs/>
          <w:i/>
          <w:color w:val="000000"/>
        </w:rPr>
        <w:t xml:space="preserve">l </w:t>
      </w:r>
      <w:r>
        <w:rPr>
          <w:bCs/>
          <w:color w:val="000000"/>
        </w:rPr>
        <w:t xml:space="preserve">das unidades federadas </w:t>
      </w:r>
      <w:r w:rsidR="00206DF6">
        <w:rPr>
          <w:bCs/>
          <w:color w:val="000000"/>
        </w:rPr>
        <w:t>(no estabelecimento de relações internacionais) numa dinâmica que pode ser complementar</w:t>
      </w:r>
      <w:r>
        <w:rPr>
          <w:bCs/>
          <w:color w:val="000000"/>
        </w:rPr>
        <w:t xml:space="preserve"> (coordenadas, conjuntas ou monitoradas) aos seus objetivos </w:t>
      </w:r>
      <w:r w:rsidRPr="00E3215C">
        <w:t>(SOLDATOS, 1990)</w:t>
      </w:r>
      <w:r>
        <w:t>.</w:t>
      </w:r>
    </w:p>
    <w:p w:rsidR="001E407B" w:rsidRDefault="001E407B" w:rsidP="001E407B">
      <w:pPr>
        <w:spacing w:line="360" w:lineRule="auto"/>
        <w:ind w:firstLine="708"/>
        <w:jc w:val="both"/>
      </w:pPr>
      <w:r>
        <w:t>Dessa maneira, de forma complementar</w:t>
      </w:r>
      <w:r w:rsidR="00FA0B85">
        <w:t xml:space="preserve">,a pesquisa tem </w:t>
      </w:r>
      <w:r>
        <w:t>interesse na investigação da seguinte questão: há uma racionalização da política exterior na Argentina e no Brasil durante o período em que a experiência da UPA 24H – RJ foi transplantada</w:t>
      </w:r>
      <w:r w:rsidRPr="0075305B">
        <w:rPr>
          <w:color w:val="545454"/>
          <w:shd w:val="clear" w:color="auto" w:fill="FFFFFF"/>
        </w:rPr>
        <w:t>?</w:t>
      </w:r>
      <w:r>
        <w:t xml:space="preserve"> Em caso afirmativo</w:t>
      </w:r>
      <w:r w:rsidR="00FA0B85">
        <w:t>,</w:t>
      </w:r>
      <w:r>
        <w:t xml:space="preserve"> qual o papel exercido pela Província de Buenos Aires e o Estado do Rio de Janeiro nesse processo</w:t>
      </w:r>
      <w:r w:rsidRPr="0075305B">
        <w:rPr>
          <w:color w:val="545454"/>
          <w:shd w:val="clear" w:color="auto" w:fill="FFFFFF"/>
        </w:rPr>
        <w:t>?</w:t>
      </w:r>
    </w:p>
    <w:p w:rsidR="001E407B" w:rsidRDefault="001E407B" w:rsidP="004E4066">
      <w:pPr>
        <w:spacing w:line="360" w:lineRule="auto"/>
        <w:ind w:firstLine="708"/>
        <w:jc w:val="both"/>
      </w:pPr>
      <w:r>
        <w:t xml:space="preserve">Partimos então, do pressuposto de que </w:t>
      </w:r>
      <w:r>
        <w:rPr>
          <w:rFonts w:eastAsia="Calibri"/>
        </w:rPr>
        <w:t xml:space="preserve">quanto maior autonomia, coordenação e cooperação maior a “racionalização da política exterior”. Nesse quadro, se conforma uma “segmentação” cooperativa entre os governos centrais e as unidades subnacionais, na Argentina e no Brasil. </w:t>
      </w:r>
      <w:r w:rsidR="00206DF6">
        <w:rPr>
          <w:rFonts w:eastAsia="Calibri"/>
        </w:rPr>
        <w:t xml:space="preserve">Sendo assim, se conformaria </w:t>
      </w:r>
      <w:r>
        <w:rPr>
          <w:rFonts w:eastAsia="Calibri"/>
        </w:rPr>
        <w:t>uma condição político – institucional favorável ao estabelecimento de uma rede de transferência que vai resultar, em última medida, na transplantação da UPA 24H – RJ</w:t>
      </w:r>
    </w:p>
    <w:p w:rsidR="008F10F0" w:rsidRDefault="004E77D4" w:rsidP="002D07C8">
      <w:pPr>
        <w:spacing w:line="360" w:lineRule="auto"/>
        <w:ind w:firstLine="708"/>
        <w:jc w:val="both"/>
      </w:pPr>
      <w:r>
        <w:t>A</w:t>
      </w:r>
      <w:r w:rsidR="00935BDD">
        <w:t xml:space="preserve"> pesquisa </w:t>
      </w:r>
      <w:r w:rsidR="006318DC">
        <w:t>está</w:t>
      </w:r>
      <w:r w:rsidR="00935BDD">
        <w:t xml:space="preserve"> estruturada da seguinte maneira: no primeiro capítulo</w:t>
      </w:r>
      <w:r w:rsidR="006318DC">
        <w:t>, discorreremos sobre</w:t>
      </w:r>
      <w:r w:rsidR="004338F7">
        <w:t xml:space="preserve"> </w:t>
      </w:r>
      <w:r w:rsidR="006318DC">
        <w:t>o</w:t>
      </w:r>
      <w:r w:rsidR="00935BDD">
        <w:t xml:space="preserve"> debate teórico </w:t>
      </w:r>
      <w:r w:rsidR="006318DC">
        <w:t>acerca das</w:t>
      </w:r>
      <w:r w:rsidR="004338F7">
        <w:t xml:space="preserve"> </w:t>
      </w:r>
      <w:r w:rsidR="00935BDD" w:rsidRPr="00D923CE">
        <w:t>contribuições para a transferência de políticas públicas tendo como marco o trabalho de</w:t>
      </w:r>
      <w:r w:rsidR="00935BDD">
        <w:t xml:space="preserve"> Dolowitz e Marsh (1996; 2000) bem como as reflexões sobre a multidimensionalidade do fenômeno, para assim, demarcar a dimensão </w:t>
      </w:r>
      <w:r w:rsidR="006318DC">
        <w:t>principal de análise n</w:t>
      </w:r>
      <w:r w:rsidR="00935BDD">
        <w:t xml:space="preserve">a qual o trabalho se debruça: o nível doméstico. </w:t>
      </w:r>
    </w:p>
    <w:p w:rsidR="00FA0B85" w:rsidRDefault="002D07C8" w:rsidP="002D07C8">
      <w:pPr>
        <w:spacing w:line="360" w:lineRule="auto"/>
        <w:ind w:firstLine="708"/>
        <w:jc w:val="both"/>
        <w:rPr>
          <w:szCs w:val="28"/>
        </w:rPr>
      </w:pPr>
      <w:r>
        <w:t xml:space="preserve">No segundo capítulo </w:t>
      </w:r>
      <w:r>
        <w:rPr>
          <w:szCs w:val="28"/>
        </w:rPr>
        <w:t>observa</w:t>
      </w:r>
      <w:r w:rsidR="006318DC">
        <w:rPr>
          <w:szCs w:val="28"/>
        </w:rPr>
        <w:t>re</w:t>
      </w:r>
      <w:r>
        <w:rPr>
          <w:szCs w:val="28"/>
        </w:rPr>
        <w:t>mos as determina</w:t>
      </w:r>
      <w:r w:rsidR="00935BDD">
        <w:rPr>
          <w:szCs w:val="28"/>
        </w:rPr>
        <w:t>n</w:t>
      </w:r>
      <w:r>
        <w:rPr>
          <w:szCs w:val="28"/>
        </w:rPr>
        <w:t>tes domésticas em termos de capacidades político – institucionais. Nesse sentido, busca</w:t>
      </w:r>
      <w:r w:rsidR="006318DC">
        <w:rPr>
          <w:szCs w:val="28"/>
        </w:rPr>
        <w:t>re</w:t>
      </w:r>
      <w:r>
        <w:rPr>
          <w:szCs w:val="28"/>
        </w:rPr>
        <w:t xml:space="preserve">mos estabelecer indicadores para a investigação da </w:t>
      </w:r>
      <w:r w:rsidR="00A81EFF">
        <w:rPr>
          <w:szCs w:val="28"/>
        </w:rPr>
        <w:t>“</w:t>
      </w:r>
      <w:r>
        <w:rPr>
          <w:szCs w:val="28"/>
        </w:rPr>
        <w:t>racionalização da política exterior</w:t>
      </w:r>
      <w:r w:rsidR="00A81EFF">
        <w:rPr>
          <w:szCs w:val="28"/>
        </w:rPr>
        <w:t>”</w:t>
      </w:r>
      <w:r>
        <w:rPr>
          <w:szCs w:val="28"/>
        </w:rPr>
        <w:t xml:space="preserve"> ao considerar a </w:t>
      </w:r>
      <w:r w:rsidRPr="001D064D">
        <w:rPr>
          <w:i/>
          <w:szCs w:val="28"/>
        </w:rPr>
        <w:t>capacidade de ação internacional</w:t>
      </w:r>
      <w:r>
        <w:rPr>
          <w:szCs w:val="28"/>
        </w:rPr>
        <w:t xml:space="preserve"> do de </w:t>
      </w:r>
      <w:r w:rsidRPr="00EA2BBA">
        <w:rPr>
          <w:i/>
          <w:szCs w:val="28"/>
        </w:rPr>
        <w:t>cooperação</w:t>
      </w:r>
      <w:r>
        <w:rPr>
          <w:szCs w:val="28"/>
        </w:rPr>
        <w:t xml:space="preserve"> e </w:t>
      </w:r>
      <w:r w:rsidRPr="00EA2BBA">
        <w:rPr>
          <w:i/>
          <w:szCs w:val="28"/>
        </w:rPr>
        <w:t>coordenação</w:t>
      </w:r>
      <w:r w:rsidR="00935BDD">
        <w:rPr>
          <w:szCs w:val="28"/>
        </w:rPr>
        <w:t xml:space="preserve"> d</w:t>
      </w:r>
      <w:r>
        <w:rPr>
          <w:szCs w:val="28"/>
        </w:rPr>
        <w:t>as unidades subnacionais na Argentina e no Brasil.</w:t>
      </w:r>
    </w:p>
    <w:p w:rsidR="001E407B" w:rsidRDefault="00FA0B85" w:rsidP="002D07C8">
      <w:pPr>
        <w:spacing w:line="360" w:lineRule="auto"/>
        <w:ind w:firstLine="708"/>
        <w:jc w:val="both"/>
        <w:rPr>
          <w:szCs w:val="28"/>
        </w:rPr>
      </w:pPr>
      <w:r>
        <w:rPr>
          <w:szCs w:val="28"/>
        </w:rPr>
        <w:t>N</w:t>
      </w:r>
      <w:r w:rsidR="00935BDD">
        <w:rPr>
          <w:szCs w:val="28"/>
        </w:rPr>
        <w:t xml:space="preserve">o terceiro capítulo, apresentar os resultados da pesquisa no que diz respeito a adoção dos indicadores para localizar a Província de Buenos Aires e o Estado do Rio de Janeiro no quadro de racionalização da política exterior bem como apontar qual a sua implicação em termos da transferência da Unidade de Pronto Atendimento (UPA). </w:t>
      </w:r>
      <w:r w:rsidR="004176F2">
        <w:rPr>
          <w:szCs w:val="28"/>
        </w:rPr>
        <w:t xml:space="preserve">Na conclusão, retomamos o propósito central da dissertação ressaltando as implicações dos resultados, em especial do terceiro capítulo, para a reflexão sobre a dimensão doméstica da transferência. Nessa seção, apresentamos os próximos passos da pesquisa ressaltando </w:t>
      </w:r>
      <w:r w:rsidR="004176F2">
        <w:rPr>
          <w:szCs w:val="28"/>
        </w:rPr>
        <w:lastRenderedPageBreak/>
        <w:t>a demanda urgente de se observar tanto o Macro – Nível (Global, Transnacional e Internacional) quanto a dimensão do Micro – Nível (Processo e Relações Interorganizacionais).</w:t>
      </w:r>
    </w:p>
    <w:p w:rsidR="002D07C8" w:rsidRDefault="002D07C8" w:rsidP="002D07C8">
      <w:pPr>
        <w:spacing w:line="360" w:lineRule="auto"/>
        <w:ind w:firstLine="708"/>
        <w:jc w:val="both"/>
        <w:rPr>
          <w:szCs w:val="28"/>
        </w:rPr>
      </w:pPr>
    </w:p>
    <w:p w:rsidR="002D07C8" w:rsidRPr="00D43DB9" w:rsidRDefault="002D07C8" w:rsidP="002D07C8">
      <w:pPr>
        <w:jc w:val="both"/>
        <w:rPr>
          <w:b/>
        </w:rPr>
      </w:pPr>
      <w:r w:rsidRPr="00D43DB9">
        <w:rPr>
          <w:b/>
        </w:rPr>
        <w:t xml:space="preserve">CAPÍTULO </w:t>
      </w:r>
      <w:r>
        <w:rPr>
          <w:b/>
        </w:rPr>
        <w:t>1</w:t>
      </w:r>
      <w:r w:rsidRPr="00D43DB9">
        <w:rPr>
          <w:b/>
        </w:rPr>
        <w:t>.</w:t>
      </w:r>
      <w:r>
        <w:rPr>
          <w:b/>
        </w:rPr>
        <w:t xml:space="preserve"> EM BUSCA DE UM MODELO INTEGRATIVO (</w:t>
      </w:r>
      <w:r w:rsidRPr="00EE39F9">
        <w:rPr>
          <w:b/>
          <w:i/>
        </w:rPr>
        <w:t>MULTI –NÍVEL</w:t>
      </w:r>
      <w:r>
        <w:rPr>
          <w:b/>
          <w:i/>
        </w:rPr>
        <w:t>)</w:t>
      </w:r>
      <w:r>
        <w:rPr>
          <w:b/>
        </w:rPr>
        <w:t xml:space="preserve"> PARA A ANÁLISE DA </w:t>
      </w:r>
      <w:r w:rsidRPr="009A707A">
        <w:rPr>
          <w:b/>
        </w:rPr>
        <w:t>TRANSFER</w:t>
      </w:r>
      <w:r>
        <w:rPr>
          <w:b/>
        </w:rPr>
        <w:t xml:space="preserve">ÊNCIA DE POLÍTICAS PÚBLICAS </w:t>
      </w:r>
    </w:p>
    <w:p w:rsidR="002D07C8" w:rsidRDefault="002D07C8" w:rsidP="002D07C8">
      <w:pPr>
        <w:spacing w:line="360" w:lineRule="auto"/>
        <w:ind w:firstLine="708"/>
        <w:jc w:val="both"/>
      </w:pPr>
    </w:p>
    <w:p w:rsidR="000E208F" w:rsidRDefault="00CA3A9E" w:rsidP="002D07C8">
      <w:pPr>
        <w:spacing w:line="360" w:lineRule="auto"/>
        <w:ind w:firstLine="708"/>
        <w:jc w:val="both"/>
      </w:pPr>
      <w:r>
        <w:t>O propósito do capítulo é apresentar o debate sobre transferência de políticas públicas com atenção especial a</w:t>
      </w:r>
      <w:r w:rsidR="000E208F">
        <w:t xml:space="preserve">s reflexões que se vinculam à </w:t>
      </w:r>
      <w:r>
        <w:t>literatura d</w:t>
      </w:r>
      <w:r w:rsidR="000E208F">
        <w:t>ando</w:t>
      </w:r>
      <w:r>
        <w:t xml:space="preserve"> ênfase </w:t>
      </w:r>
      <w:r w:rsidR="000E208F">
        <w:t>à</w:t>
      </w:r>
      <w:r>
        <w:t xml:space="preserve"> uma perspectiva multidimensional. </w:t>
      </w:r>
      <w:r w:rsidR="000E208F">
        <w:t>O conceito diz respeito a um processo de aprendizado e transplantação de instrumentos de distintas origens como políticas, arranjos administrativos ou instituições de um tempo e/ou lugar para odesenvolvimento desses instrumentos em outro tempo e/ou lugar (</w:t>
      </w:r>
      <w:r w:rsidR="000E208F" w:rsidRPr="00D43DB9">
        <w:t>DOLOWITZ E MARSH</w:t>
      </w:r>
      <w:r w:rsidR="000E208F">
        <w:t>,</w:t>
      </w:r>
      <w:r w:rsidR="000E208F" w:rsidRPr="00D43DB9">
        <w:t xml:space="preserve"> 1996, 2000</w:t>
      </w:r>
      <w:r w:rsidR="000E208F">
        <w:t>).</w:t>
      </w:r>
    </w:p>
    <w:p w:rsidR="00B870DA" w:rsidRDefault="00CA3A9E" w:rsidP="000E208F">
      <w:pPr>
        <w:spacing w:line="360" w:lineRule="auto"/>
        <w:ind w:firstLine="708"/>
        <w:jc w:val="both"/>
      </w:pPr>
      <w:r>
        <w:t>P</w:t>
      </w:r>
      <w:r w:rsidR="0040386A">
        <w:t xml:space="preserve">arte da literatura </w:t>
      </w:r>
      <w:r>
        <w:t xml:space="preserve">sobre as distintas dimensões de análise do fenômeno deriva das reflexões seminais de </w:t>
      </w:r>
      <w:r w:rsidRPr="00D43DB9">
        <w:t>Dolowitz e Marsh (1996, 2000</w:t>
      </w:r>
      <w:r>
        <w:t xml:space="preserve">). </w:t>
      </w:r>
      <w:r w:rsidR="003A4962">
        <w:t xml:space="preserve">Os autores são apontados como os pioneiros </w:t>
      </w:r>
      <w:r w:rsidR="0040386A">
        <w:t xml:space="preserve">sobre uma proposta multi – nível no interior da reflexão sobre transferência </w:t>
      </w:r>
      <w:r w:rsidR="003A4962">
        <w:t xml:space="preserve">em função da importância que </w:t>
      </w:r>
      <w:r w:rsidR="0040386A">
        <w:t xml:space="preserve">o modelo de análise que propõem. Ainda que consideremos a importância do trabalho pioneiros desses atores </w:t>
      </w:r>
      <w:r w:rsidR="003A4962">
        <w:t xml:space="preserve"> </w:t>
      </w:r>
      <w:r w:rsidR="0040386A">
        <w:t>optamos por adotar a perspectiva de Evans e</w:t>
      </w:r>
      <w:r w:rsidR="0040386A" w:rsidRPr="003750D8">
        <w:t xml:space="preserve"> Davies </w:t>
      </w:r>
      <w:r w:rsidR="0040386A">
        <w:t>(</w:t>
      </w:r>
      <w:r w:rsidR="0040386A" w:rsidRPr="003750D8">
        <w:t>1999</w:t>
      </w:r>
      <w:r w:rsidR="0040386A">
        <w:t>) sobre multidimensionalidade d</w:t>
      </w:r>
      <w:r>
        <w:t>a transferência</w:t>
      </w:r>
      <w:r w:rsidR="0040386A">
        <w:t xml:space="preserve"> de políticas. Cabe apontar que esses autores </w:t>
      </w:r>
      <w:r w:rsidR="003A4962">
        <w:t>identifica</w:t>
      </w:r>
      <w:r w:rsidR="0040386A">
        <w:t xml:space="preserve">m um conjunto de </w:t>
      </w:r>
      <w:r w:rsidR="003A4962">
        <w:t xml:space="preserve">variáveis nos níveis </w:t>
      </w:r>
      <w:r>
        <w:t xml:space="preserve">Macro e Micro </w:t>
      </w:r>
      <w:r w:rsidR="003A4962">
        <w:t xml:space="preserve">que impactam sobre a dinâmica da transferência. Nesse sentido, para os autores, </w:t>
      </w:r>
      <w:r>
        <w:t>o conceito funcionaria como um dispositivo de Meso análise</w:t>
      </w:r>
      <w:r w:rsidR="003A4962">
        <w:t>.</w:t>
      </w:r>
    </w:p>
    <w:p w:rsidR="000E208F" w:rsidRDefault="0040386A" w:rsidP="002D07C8">
      <w:pPr>
        <w:spacing w:line="360" w:lineRule="auto"/>
        <w:ind w:firstLine="708"/>
        <w:jc w:val="both"/>
      </w:pPr>
      <w:r>
        <w:t xml:space="preserve">Nesse ponto, ressaltamos que, </w:t>
      </w:r>
      <w:r w:rsidR="003A4962">
        <w:t xml:space="preserve">ainda que consideremos os distintos níveis de análise, o foco da presente dissertação recairá sobre a dimensão político – institucional doméstica na observação do caso de transferência da Unidade de Pronto Atendimento (UPA 24H – RJ). </w:t>
      </w:r>
    </w:p>
    <w:p w:rsidR="00B870DA" w:rsidRDefault="00CA3A9E" w:rsidP="002D07C8">
      <w:pPr>
        <w:spacing w:line="360" w:lineRule="auto"/>
        <w:ind w:firstLine="708"/>
        <w:jc w:val="both"/>
      </w:pPr>
      <w:r>
        <w:t xml:space="preserve">O capítulo </w:t>
      </w:r>
      <w:r w:rsidR="00F113EE">
        <w:t>está</w:t>
      </w:r>
      <w:r>
        <w:t xml:space="preserve"> estruturado em três seções. </w:t>
      </w:r>
      <w:r w:rsidR="000E208F">
        <w:t>A primeira aponta, de maneira não extensiva, a dimensão internacional das políticas públicas</w:t>
      </w:r>
      <w:r w:rsidR="001A6BE7">
        <w:t xml:space="preserve"> e</w:t>
      </w:r>
      <w:r w:rsidR="000E208F">
        <w:t xml:space="preserve"> a importância d</w:t>
      </w:r>
      <w:r w:rsidR="009E03D5">
        <w:t>essa</w:t>
      </w:r>
      <w:r w:rsidR="000E208F">
        <w:t xml:space="preserve"> agenda de pesquisa</w:t>
      </w:r>
      <w:r w:rsidR="001A6BE7">
        <w:t>,</w:t>
      </w:r>
      <w:r w:rsidR="000E208F">
        <w:t xml:space="preserve"> bem como estabelece os primeiros marcos teóricos – conceituais</w:t>
      </w:r>
      <w:r w:rsidR="0040386A">
        <w:t xml:space="preserve"> </w:t>
      </w:r>
      <w:r w:rsidR="009E03D5">
        <w:t>do fenômeno</w:t>
      </w:r>
      <w:r w:rsidR="000E208F">
        <w:t xml:space="preserve">.  </w:t>
      </w:r>
      <w:r w:rsidR="009E03D5">
        <w:t xml:space="preserve">Na segunda seção, delineamos a diferenças básicas entre Difusão e Transferências de Políticas. E assim, na terceira </w:t>
      </w:r>
      <w:r w:rsidR="00EB4B2A">
        <w:t>parte</w:t>
      </w:r>
      <w:r w:rsidR="009E03D5">
        <w:t>, apresentamos o modelo de análise na perspectiva dos distintos níveis</w:t>
      </w:r>
      <w:r w:rsidR="00EB4B2A">
        <w:t>,</w:t>
      </w:r>
      <w:r w:rsidR="009E03D5">
        <w:t xml:space="preserve"> chamando atenção para variáveis endógenas e exógenas da dimensão Macro e apontando que, na presente dissertação, adotamos a </w:t>
      </w:r>
      <w:r w:rsidR="009E03D5">
        <w:lastRenderedPageBreak/>
        <w:t>dimensão político – institucional doméstic</w:t>
      </w:r>
      <w:r w:rsidR="0040386A">
        <w:t>a</w:t>
      </w:r>
      <w:r w:rsidR="009E03D5">
        <w:t xml:space="preserve"> como determinante do processo de transferência da UPA 24H – RJ.</w:t>
      </w:r>
    </w:p>
    <w:p w:rsidR="00B870DA" w:rsidRPr="00CA3A9E" w:rsidRDefault="00CA3A9E" w:rsidP="002D07C8">
      <w:pPr>
        <w:spacing w:line="360" w:lineRule="auto"/>
        <w:ind w:firstLine="708"/>
        <w:jc w:val="both"/>
        <w:rPr>
          <w:b/>
        </w:rPr>
      </w:pPr>
      <w:r>
        <w:rPr>
          <w:b/>
        </w:rPr>
        <w:t xml:space="preserve">1.1 </w:t>
      </w:r>
      <w:r w:rsidRPr="00CA3A9E">
        <w:rPr>
          <w:b/>
        </w:rPr>
        <w:t xml:space="preserve">A dimensão internacional das Políticas Públicas </w:t>
      </w:r>
    </w:p>
    <w:p w:rsidR="00152F37" w:rsidRDefault="001F268E" w:rsidP="002D07C8">
      <w:pPr>
        <w:spacing w:line="360" w:lineRule="auto"/>
        <w:ind w:firstLine="708"/>
        <w:jc w:val="both"/>
      </w:pPr>
      <w:r w:rsidRPr="001F268E">
        <w:t>Celina Souza (2003)</w:t>
      </w:r>
      <w:r w:rsidR="00B41F74">
        <w:t>,</w:t>
      </w:r>
      <w:r w:rsidRPr="001F268E">
        <w:t xml:space="preserve"> ao desenhar uma reflexão crítica sobre a produção acadêmica no campo de políticas públicas</w:t>
      </w:r>
      <w:r w:rsidR="00537A6B">
        <w:t>,</w:t>
      </w:r>
      <w:r w:rsidRPr="001F268E">
        <w:t xml:space="preserve"> aponta para</w:t>
      </w:r>
      <w:r w:rsidR="00537A6B">
        <w:t xml:space="preserve"> a</w:t>
      </w:r>
      <w:r w:rsidRPr="001F268E">
        <w:t xml:space="preserve"> “tentação de enveredarmo-nos por novos temas que suscitam apenas um interesse particular sem que se pese uma perspectiva propriamente acadêmica” (SOUZA, 2003: 16). A consequência deletéria apontada por essa característica atenta à possibilidade de um movimento circular que resulte numa concentração temática ligada à falta de diálogo entre os pesquisadores. Ademais, uma potencial escassez na “acumulação de conhecimento” impacta</w:t>
      </w:r>
      <w:r w:rsidR="00537A6B">
        <w:t>ria</w:t>
      </w:r>
      <w:r w:rsidRPr="001F268E">
        <w:t xml:space="preserve"> de forma negativa </w:t>
      </w:r>
      <w:r w:rsidR="00537A6B">
        <w:t>n</w:t>
      </w:r>
      <w:r w:rsidRPr="001F268E">
        <w:t>o desenvolvimento de “temas importantes que ainda não aportaram em nossa agenda de pesquisa”. (SOUZA, 2003: 17).</w:t>
      </w:r>
    </w:p>
    <w:p w:rsidR="00680DD3" w:rsidRDefault="00D1164A" w:rsidP="002D07C8">
      <w:pPr>
        <w:spacing w:line="360" w:lineRule="auto"/>
        <w:ind w:firstLine="708"/>
        <w:jc w:val="both"/>
      </w:pPr>
      <w:r>
        <w:t xml:space="preserve">Nesse contexto, se observada a produção acadêmica em relação </w:t>
      </w:r>
      <w:r w:rsidR="006B7D9B">
        <w:t>aos</w:t>
      </w:r>
      <w:r>
        <w:t xml:space="preserve"> temas de transferência e difusão de políticas públicas</w:t>
      </w:r>
      <w:r w:rsidR="006B7D9B">
        <w:t>,</w:t>
      </w:r>
      <w:r>
        <w:t xml:space="preserve"> Faria (</w:t>
      </w:r>
      <w:r w:rsidRPr="00D1164A">
        <w:t>2012: 337</w:t>
      </w:r>
      <w:r>
        <w:t xml:space="preserve">) </w:t>
      </w:r>
      <w:r w:rsidR="006B7D9B">
        <w:t>adverte</w:t>
      </w:r>
      <w:r>
        <w:t xml:space="preserve"> que </w:t>
      </w:r>
      <w:r w:rsidR="000A00B1">
        <w:t>as duas temáticas têm</w:t>
      </w:r>
      <w:r>
        <w:t xml:space="preserve"> tido pouco espaço na agenda de pesquisa não só no Brasil como na América Latina. O autor chama atenção a</w:t>
      </w:r>
      <w:r w:rsidR="007B523E">
        <w:t>o</w:t>
      </w:r>
      <w:r>
        <w:t xml:space="preserve"> fato de que </w:t>
      </w:r>
      <w:r w:rsidR="007B523E">
        <w:t>tal</w:t>
      </w:r>
      <w:r>
        <w:t xml:space="preserve"> característica é contrastada com o fato de “</w:t>
      </w:r>
      <w:r w:rsidRPr="00D1164A">
        <w:t xml:space="preserve">serem abundantes os exemplos de difusão/transferência de políticas no plano doméstico” </w:t>
      </w:r>
      <w:r>
        <w:t xml:space="preserve">quando observado o caso brasileiro </w:t>
      </w:r>
      <w:r w:rsidRPr="00D1164A">
        <w:t>(FARIA, 2012: 337).</w:t>
      </w:r>
      <w:r w:rsidR="00DE7AE5">
        <w:t xml:space="preserve">Em adição, a esse respeito aponta </w:t>
      </w:r>
      <w:r w:rsidRPr="00D1164A">
        <w:t>exemplo</w:t>
      </w:r>
      <w:r w:rsidR="00DE7AE5">
        <w:t>s</w:t>
      </w:r>
      <w:r w:rsidR="00AE04D5">
        <w:t xml:space="preserve"> </w:t>
      </w:r>
      <w:r w:rsidR="006B7D9B">
        <w:t>de</w:t>
      </w:r>
      <w:r w:rsidR="00AE04D5">
        <w:t xml:space="preserve"> </w:t>
      </w:r>
      <w:r w:rsidR="00DE7AE5">
        <w:t>como os</w:t>
      </w:r>
      <w:r w:rsidRPr="00D1164A">
        <w:t xml:space="preserve"> programas “Fome Zero e Bolsa Família” em um contexto em que </w:t>
      </w:r>
      <w:r w:rsidR="00DE7AE5">
        <w:t>sã</w:t>
      </w:r>
      <w:r w:rsidR="002E7019">
        <w:t>o</w:t>
      </w:r>
      <w:r w:rsidR="00DE7AE5">
        <w:t xml:space="preserve"> consider</w:t>
      </w:r>
      <w:r w:rsidR="002E7019">
        <w:t>adas</w:t>
      </w:r>
      <w:r w:rsidRPr="00D1164A">
        <w:t xml:space="preserve"> “práticas exitosas a serem adotadas por outros países em desenvolvimento” (FARIA, 2012: 337).</w:t>
      </w:r>
    </w:p>
    <w:p w:rsidR="00152F37" w:rsidRDefault="00152F37" w:rsidP="002D07C8">
      <w:pPr>
        <w:spacing w:line="360" w:lineRule="auto"/>
        <w:ind w:firstLine="708"/>
        <w:jc w:val="both"/>
      </w:pPr>
      <w:r>
        <w:rPr>
          <w:rFonts w:cs="Transit521 BT"/>
          <w:color w:val="000000"/>
          <w:szCs w:val="19"/>
        </w:rPr>
        <w:t xml:space="preserve">Já </w:t>
      </w:r>
      <w:r w:rsidRPr="00D43DB9">
        <w:rPr>
          <w:rFonts w:cs="Transit521 BT"/>
          <w:color w:val="000000"/>
          <w:szCs w:val="19"/>
        </w:rPr>
        <w:t>Porto de Oliveira</w:t>
      </w:r>
      <w:r>
        <w:rPr>
          <w:rStyle w:val="Refdenotaderodap"/>
          <w:color w:val="000000"/>
          <w:szCs w:val="19"/>
        </w:rPr>
        <w:footnoteReference w:id="1"/>
      </w:r>
      <w:r w:rsidRPr="00D43DB9">
        <w:rPr>
          <w:rFonts w:cs="Transit521 BT"/>
          <w:color w:val="000000"/>
          <w:szCs w:val="19"/>
        </w:rPr>
        <w:t xml:space="preserve"> (2013)defende que, ainda que haja uma disputa acerca dos conceitos no campo da a) difusão; b) transferência e c) circulação de políticas públicas, </w:t>
      </w:r>
      <w:r w:rsidRPr="001B79F7">
        <w:rPr>
          <w:rFonts w:cs="Transit521 BT"/>
          <w:szCs w:val="19"/>
        </w:rPr>
        <w:t xml:space="preserve">os </w:t>
      </w:r>
      <w:r>
        <w:rPr>
          <w:rFonts w:cs="Transit521 BT"/>
          <w:szCs w:val="19"/>
        </w:rPr>
        <w:t>estudos sobre esses fenômenos tê</w:t>
      </w:r>
      <w:r w:rsidRPr="001B79F7">
        <w:rPr>
          <w:rFonts w:cs="Transit521 BT"/>
          <w:szCs w:val="19"/>
        </w:rPr>
        <w:t>m ocupado cada vez mais espaço nas agendas de pesquisa na área da ciência política e relações internacionais seguindo, inclusive, o movimento que faz com que o Brasil f</w:t>
      </w:r>
      <w:r>
        <w:rPr>
          <w:rFonts w:cs="Transit521 BT"/>
          <w:szCs w:val="19"/>
        </w:rPr>
        <w:t>i</w:t>
      </w:r>
      <w:r w:rsidRPr="001B79F7">
        <w:rPr>
          <w:rFonts w:cs="Transit521 BT"/>
          <w:szCs w:val="19"/>
        </w:rPr>
        <w:t>gure como relevante “exportador” de políticas públicas</w:t>
      </w:r>
      <w:r>
        <w:rPr>
          <w:rFonts w:cs="Transit521 BT"/>
          <w:szCs w:val="19"/>
        </w:rPr>
        <w:t>.</w:t>
      </w:r>
    </w:p>
    <w:p w:rsidR="002D07C8" w:rsidRDefault="00152F37" w:rsidP="002D07C8">
      <w:pPr>
        <w:spacing w:line="360" w:lineRule="auto"/>
        <w:ind w:firstLine="708"/>
        <w:jc w:val="both"/>
      </w:pPr>
      <w:r>
        <w:t>O</w:t>
      </w:r>
      <w:r w:rsidR="00D1164A">
        <w:t xml:space="preserve"> quadro apontado</w:t>
      </w:r>
      <w:r w:rsidR="00550516">
        <w:t xml:space="preserve"> </w:t>
      </w:r>
      <w:r w:rsidR="000A00B1">
        <w:t xml:space="preserve">acima </w:t>
      </w:r>
      <w:r>
        <w:t xml:space="preserve">figura </w:t>
      </w:r>
      <w:r w:rsidR="000A00B1">
        <w:t>em um</w:t>
      </w:r>
      <w:r>
        <w:t xml:space="preserve"> contexto em que </w:t>
      </w:r>
      <w:r w:rsidR="00D1164A">
        <w:t>a</w:t>
      </w:r>
      <w:r w:rsidR="002D07C8">
        <w:t xml:space="preserve"> literatura especializada tem indicado que a pesquisa sobre </w:t>
      </w:r>
      <w:r w:rsidR="002D07C8" w:rsidRPr="00D43DB9">
        <w:t xml:space="preserve">transferência </w:t>
      </w:r>
      <w:r w:rsidR="002D07C8">
        <w:t xml:space="preserve">de políticas públicas </w:t>
      </w:r>
      <w:r w:rsidR="002D07C8" w:rsidRPr="00D43DB9">
        <w:t>teve</w:t>
      </w:r>
      <w:r w:rsidR="00550516">
        <w:t xml:space="preserve"> </w:t>
      </w:r>
      <w:r w:rsidR="002D07C8" w:rsidRPr="00D43DB9">
        <w:t xml:space="preserve">um incremento </w:t>
      </w:r>
      <w:r w:rsidR="002D07C8" w:rsidRPr="00441C61">
        <w:t>significativo a partir dos anos 1990 e meados dos anos 2000</w:t>
      </w:r>
      <w:r w:rsidR="002D07C8" w:rsidRPr="00D43DB9">
        <w:t>(STONE</w:t>
      </w:r>
      <w:r w:rsidR="002D07C8">
        <w:t>, 1999;</w:t>
      </w:r>
      <w:r w:rsidR="002D07C8" w:rsidRPr="00D43DB9">
        <w:t xml:space="preserve"> EVANS E DAVIES</w:t>
      </w:r>
      <w:r w:rsidR="002D07C8">
        <w:t xml:space="preserve">, 1999; </w:t>
      </w:r>
      <w:r w:rsidR="002D07C8" w:rsidRPr="00D43DB9">
        <w:t>DOLOWITZ E MARSH</w:t>
      </w:r>
      <w:r w:rsidR="002D07C8">
        <w:t>, 2000;</w:t>
      </w:r>
      <w:r w:rsidR="002D07C8" w:rsidRPr="00D43DB9">
        <w:t xml:space="preserve"> STONE</w:t>
      </w:r>
      <w:r w:rsidR="002D07C8">
        <w:t>,</w:t>
      </w:r>
      <w:r w:rsidR="002D07C8" w:rsidRPr="00D43DB9">
        <w:t xml:space="preserve"> 200</w:t>
      </w:r>
      <w:r w:rsidR="00073BA6">
        <w:t>4</w:t>
      </w:r>
      <w:r w:rsidR="002D07C8">
        <w:t xml:space="preserve">; </w:t>
      </w:r>
      <w:r w:rsidR="002D07C8" w:rsidRPr="00D43DB9">
        <w:t xml:space="preserve">ELKINS </w:t>
      </w:r>
      <w:r w:rsidR="002D07C8">
        <w:t>E SIMMONS, 2005; DELPEUCH, 2008;</w:t>
      </w:r>
      <w:r w:rsidR="002D07C8" w:rsidRPr="00D43DB9">
        <w:t xml:space="preserve"> EVANS</w:t>
      </w:r>
      <w:r w:rsidR="00073BA6">
        <w:t>, 2009</w:t>
      </w:r>
      <w:r w:rsidR="002D07C8" w:rsidRPr="00D43DB9">
        <w:rPr>
          <w:rFonts w:cs="Transit521 BT"/>
          <w:color w:val="000000"/>
        </w:rPr>
        <w:t>).</w:t>
      </w:r>
      <w:r w:rsidR="002D07C8">
        <w:rPr>
          <w:rFonts w:cs="Transit521 BT"/>
          <w:color w:val="000000"/>
        </w:rPr>
        <w:t xml:space="preserve"> Em termos </w:t>
      </w:r>
      <w:r w:rsidR="002D07C8">
        <w:rPr>
          <w:rFonts w:cs="Transit521 BT"/>
          <w:color w:val="000000"/>
        </w:rPr>
        <w:lastRenderedPageBreak/>
        <w:t xml:space="preserve">conceituais, o fenômeno seria definido por </w:t>
      </w:r>
      <w:r w:rsidR="002D07C8" w:rsidRPr="00D43DB9">
        <w:t>Dolowitz &amp; Marsh</w:t>
      </w:r>
      <w:r w:rsidR="002D07C8">
        <w:t xml:space="preserve"> (</w:t>
      </w:r>
      <w:r w:rsidR="002D07C8" w:rsidRPr="00D43DB9">
        <w:t>2000: 5</w:t>
      </w:r>
      <w:r w:rsidR="002D07C8">
        <w:t xml:space="preserve">) como um processo </w:t>
      </w:r>
      <w:r w:rsidR="002D07C8" w:rsidRPr="00D43DB9">
        <w:t>“no qual o aprendizado de políticas, arranjos administrativos, instituições etc</w:t>
      </w:r>
      <w:r w:rsidR="002D07C8">
        <w:t>,</w:t>
      </w:r>
      <w:r w:rsidR="002D07C8" w:rsidRPr="00D43DB9">
        <w:t xml:space="preserve"> em um tempo e/ou lugar são usados no desenvolvimento de políticas, arranjos administrat</w:t>
      </w:r>
      <w:r w:rsidR="002D07C8">
        <w:t xml:space="preserve">ivos em outro tempo e/ou lugar” </w:t>
      </w:r>
      <w:r w:rsidR="002D07C8" w:rsidRPr="00D43DB9">
        <w:rPr>
          <w:iCs/>
        </w:rPr>
        <w:t>(</w:t>
      </w:r>
      <w:r w:rsidR="002D07C8" w:rsidRPr="00D43DB9">
        <w:t>DOLOWITZ &amp; MARSH, 2000: 5. tradução nossa).</w:t>
      </w:r>
    </w:p>
    <w:p w:rsidR="00073BA6" w:rsidRDefault="00073BA6" w:rsidP="00073BA6">
      <w:pPr>
        <w:spacing w:line="360" w:lineRule="auto"/>
        <w:ind w:firstLine="708"/>
        <w:jc w:val="both"/>
      </w:pPr>
      <w:r w:rsidRPr="00D43DB9">
        <w:t>Dolowitz &amp; Marsh</w:t>
      </w:r>
      <w:r w:rsidR="00550516">
        <w:t xml:space="preserve"> </w:t>
      </w:r>
      <w:r w:rsidR="00C062FA">
        <w:t xml:space="preserve">(2000) </w:t>
      </w:r>
      <w:r>
        <w:t>propõe</w:t>
      </w:r>
      <w:r w:rsidR="00C062FA">
        <w:t>m</w:t>
      </w:r>
      <w:r>
        <w:t xml:space="preserve"> um modelo de análise do </w:t>
      </w:r>
      <w:r w:rsidR="00C062FA">
        <w:t xml:space="preserve">supracitado </w:t>
      </w:r>
      <w:r>
        <w:t xml:space="preserve">fenômeno que </w:t>
      </w:r>
      <w:r w:rsidR="002D07C8" w:rsidRPr="00D43DB9">
        <w:t xml:space="preserve">se concentra nas seguintes questões: a) </w:t>
      </w:r>
      <w:r w:rsidR="002D07C8" w:rsidRPr="00397C89">
        <w:rPr>
          <w:i/>
        </w:rPr>
        <w:t>Por que</w:t>
      </w:r>
      <w:r w:rsidR="002D07C8" w:rsidRPr="00D43DB9">
        <w:t xml:space="preserve"> os atores se envolvem na </w:t>
      </w:r>
      <w:r>
        <w:t>transferência</w:t>
      </w:r>
      <w:r w:rsidR="002D07C8" w:rsidRPr="00D43DB9">
        <w:t>?</w:t>
      </w:r>
      <w:r w:rsidR="00DC47FF">
        <w:t>;</w:t>
      </w:r>
      <w:r w:rsidR="002D07C8" w:rsidRPr="00D43DB9">
        <w:t xml:space="preserve"> b) </w:t>
      </w:r>
      <w:r w:rsidR="002D07C8">
        <w:t>Q</w:t>
      </w:r>
      <w:r w:rsidR="002D07C8" w:rsidRPr="00397C89">
        <w:rPr>
          <w:i/>
        </w:rPr>
        <w:t>uem</w:t>
      </w:r>
      <w:r w:rsidR="002D07C8" w:rsidRPr="00D43DB9">
        <w:t xml:space="preserve"> são os atores-chave envolvidos no processo de transferência de políticas?</w:t>
      </w:r>
      <w:r w:rsidR="00DC47FF">
        <w:t>;</w:t>
      </w:r>
      <w:r w:rsidR="002D07C8" w:rsidRPr="00D43DB9">
        <w:t xml:space="preserve"> c) </w:t>
      </w:r>
      <w:r w:rsidR="002D07C8" w:rsidRPr="00397C89">
        <w:rPr>
          <w:i/>
        </w:rPr>
        <w:t>O que</w:t>
      </w:r>
      <w:r w:rsidR="002D07C8" w:rsidRPr="00D43DB9">
        <w:t xml:space="preserve"> é transferido?</w:t>
      </w:r>
      <w:r w:rsidR="00DC47FF">
        <w:t>;</w:t>
      </w:r>
      <w:r w:rsidR="002D07C8" w:rsidRPr="00D43DB9">
        <w:t xml:space="preserve"> d) </w:t>
      </w:r>
      <w:r w:rsidR="002D07C8" w:rsidRPr="00397C89">
        <w:rPr>
          <w:i/>
        </w:rPr>
        <w:t>De onde</w:t>
      </w:r>
      <w:r w:rsidR="002D07C8" w:rsidRPr="00D43DB9">
        <w:t xml:space="preserve"> são desenhadas as </w:t>
      </w:r>
      <w:r>
        <w:t>lições</w:t>
      </w:r>
      <w:r w:rsidR="002D07C8" w:rsidRPr="00D43DB9">
        <w:t>?</w:t>
      </w:r>
      <w:r w:rsidR="00DC47FF">
        <w:t>;</w:t>
      </w:r>
      <w:r w:rsidR="002D07C8" w:rsidRPr="00D43DB9">
        <w:t xml:space="preserve"> e) </w:t>
      </w:r>
      <w:r w:rsidR="002D07C8" w:rsidRPr="00397C89">
        <w:rPr>
          <w:i/>
        </w:rPr>
        <w:t>Quais</w:t>
      </w:r>
      <w:r w:rsidR="002D07C8" w:rsidRPr="00D43DB9">
        <w:t xml:space="preserve"> são as diferenças de graus de transferência?</w:t>
      </w:r>
      <w:r w:rsidR="00DC47FF">
        <w:t>;</w:t>
      </w:r>
      <w:r w:rsidR="002D07C8" w:rsidRPr="00D43DB9">
        <w:t xml:space="preserve"> f) </w:t>
      </w:r>
      <w:r w:rsidR="002D07C8" w:rsidRPr="00397C89">
        <w:rPr>
          <w:i/>
        </w:rPr>
        <w:t>O que</w:t>
      </w:r>
      <w:r w:rsidR="002D07C8" w:rsidRPr="00D43DB9">
        <w:t xml:space="preserve"> restringe ou facilita o processo de transferência?</w:t>
      </w:r>
      <w:r w:rsidR="008C2E9D">
        <w:t>;</w:t>
      </w:r>
      <w:r w:rsidR="002D07C8" w:rsidRPr="00D43DB9">
        <w:t xml:space="preserve"> e g) </w:t>
      </w:r>
      <w:r w:rsidR="002D07C8">
        <w:t>C</w:t>
      </w:r>
      <w:r w:rsidR="002D07C8" w:rsidRPr="00397C89">
        <w:rPr>
          <w:i/>
        </w:rPr>
        <w:t>omo</w:t>
      </w:r>
      <w:r w:rsidR="002D07C8" w:rsidRPr="00D43DB9">
        <w:t xml:space="preserve"> o processo de transferência se relaciona com o “sucesso” ou o “fracasso” de uma política? </w:t>
      </w:r>
      <w:r w:rsidR="002D07C8" w:rsidRPr="00D43DB9">
        <w:rPr>
          <w:iCs/>
        </w:rPr>
        <w:t>(</w:t>
      </w:r>
      <w:r w:rsidR="002D07C8" w:rsidRPr="00D43DB9">
        <w:t xml:space="preserve">DOLOWITZ &amp; MARSH, 2000: </w:t>
      </w:r>
      <w:r w:rsidR="002D07C8">
        <w:t>8</w:t>
      </w:r>
      <w:r w:rsidR="002D07C8" w:rsidRPr="00D43DB9">
        <w:t>).</w:t>
      </w:r>
      <w:r>
        <w:t xml:space="preserve"> A respeito desse modelo</w:t>
      </w:r>
      <w:r w:rsidR="00C062FA">
        <w:t>,</w:t>
      </w:r>
      <w:r>
        <w:t xml:space="preserve"> Evans e Davies (1999) consideram que os autores “</w:t>
      </w:r>
      <w:r w:rsidRPr="00654A13">
        <w:t>fizeram um grande serviço na organização de uma literatura fragmentada em um todo coerente e sugerindo sua própria interpretação</w:t>
      </w:r>
      <w:r w:rsidRPr="00654A13">
        <w:rPr>
          <w:lang w:eastAsia="en-US"/>
        </w:rPr>
        <w:t xml:space="preserve">” </w:t>
      </w:r>
      <w:r>
        <w:rPr>
          <w:lang w:eastAsia="en-US"/>
        </w:rPr>
        <w:t>(</w:t>
      </w:r>
      <w:r>
        <w:t xml:space="preserve">EVANS E DAVIES, </w:t>
      </w:r>
      <w:r w:rsidRPr="00654A13">
        <w:t>1999)</w:t>
      </w:r>
      <w:r>
        <w:t xml:space="preserve">. </w:t>
      </w:r>
    </w:p>
    <w:p w:rsidR="00073BA6" w:rsidRDefault="00073BA6" w:rsidP="002D07C8">
      <w:pPr>
        <w:spacing w:line="360" w:lineRule="auto"/>
        <w:ind w:firstLine="708"/>
        <w:jc w:val="both"/>
        <w:rPr>
          <w:lang w:eastAsia="en-US"/>
        </w:rPr>
      </w:pPr>
      <w:r>
        <w:t>Ademais, os autores r</w:t>
      </w:r>
      <w:r w:rsidR="002D07C8">
        <w:t>econhecem</w:t>
      </w:r>
      <w:r w:rsidR="00550516">
        <w:t xml:space="preserve"> </w:t>
      </w:r>
      <w:r w:rsidR="002D07C8">
        <w:t xml:space="preserve">que o </w:t>
      </w:r>
      <w:r w:rsidR="002D07C8" w:rsidRPr="003750D8">
        <w:t xml:space="preserve">esforço de </w:t>
      </w:r>
      <w:r w:rsidR="002D07C8" w:rsidRPr="003750D8">
        <w:rPr>
          <w:lang w:eastAsia="en-US"/>
        </w:rPr>
        <w:t xml:space="preserve">Dolowitz e Marsh (1996; </w:t>
      </w:r>
      <w:r w:rsidR="002D07C8" w:rsidRPr="003750D8">
        <w:t>2</w:t>
      </w:r>
      <w:r w:rsidR="002D07C8">
        <w:t xml:space="preserve">000) </w:t>
      </w:r>
      <w:r w:rsidR="00C062FA">
        <w:t>está</w:t>
      </w:r>
      <w:r w:rsidR="002D07C8">
        <w:t xml:space="preserve"> concentrado no sentido em que oferecem </w:t>
      </w:r>
      <w:r w:rsidR="002D07C8" w:rsidRPr="003750D8">
        <w:t>“um mapa do processo de transferência de políticas que só pode ser uma representação de uma realidade que precisa ser provada ou refutada em um sentido objetivo</w:t>
      </w:r>
      <w:r w:rsidR="002D07C8" w:rsidRPr="003750D8">
        <w:rPr>
          <w:lang w:eastAsia="en-US"/>
        </w:rPr>
        <w:t>” (</w:t>
      </w:r>
      <w:r w:rsidR="002D07C8" w:rsidRPr="003750D8">
        <w:t xml:space="preserve">EVANS E DAVIES, 1999. Tradução nossa). </w:t>
      </w:r>
      <w:r w:rsidR="002D07C8">
        <w:t>N</w:t>
      </w:r>
      <w:r w:rsidR="002D07C8" w:rsidRPr="00654A13">
        <w:t>o que diz respeito ao potencial e as fragilidades d</w:t>
      </w:r>
      <w:r w:rsidR="002D07C8">
        <w:t>o</w:t>
      </w:r>
      <w:r w:rsidR="002D07C8" w:rsidRPr="00654A13">
        <w:rPr>
          <w:lang w:eastAsia="en-US"/>
        </w:rPr>
        <w:t xml:space="preserve"> modelo</w:t>
      </w:r>
      <w:r w:rsidR="002D07C8">
        <w:rPr>
          <w:lang w:eastAsia="en-US"/>
        </w:rPr>
        <w:t xml:space="preserve">, </w:t>
      </w:r>
      <w:r w:rsidR="002D07C8" w:rsidRPr="000E3D14">
        <w:rPr>
          <w:lang w:eastAsia="en-US"/>
        </w:rPr>
        <w:t xml:space="preserve">os próprios autores </w:t>
      </w:r>
      <w:r w:rsidR="002D07C8">
        <w:rPr>
          <w:lang w:eastAsia="en-US"/>
        </w:rPr>
        <w:t xml:space="preserve">– </w:t>
      </w:r>
      <w:r w:rsidR="002D07C8" w:rsidRPr="001C0784">
        <w:rPr>
          <w:lang w:eastAsia="en-US"/>
        </w:rPr>
        <w:t xml:space="preserve">Dolowitz </w:t>
      </w:r>
      <w:r w:rsidR="002D07C8">
        <w:rPr>
          <w:lang w:eastAsia="en-US"/>
        </w:rPr>
        <w:t>e</w:t>
      </w:r>
      <w:r w:rsidR="002D07C8" w:rsidRPr="001C0784">
        <w:rPr>
          <w:lang w:eastAsia="en-US"/>
        </w:rPr>
        <w:t xml:space="preserve"> Marsh (</w:t>
      </w:r>
      <w:r w:rsidR="002D07C8">
        <w:rPr>
          <w:lang w:eastAsia="en-US"/>
        </w:rPr>
        <w:t>2012</w:t>
      </w:r>
      <w:r w:rsidR="002D07C8" w:rsidRPr="001C0784">
        <w:rPr>
          <w:lang w:eastAsia="en-US"/>
        </w:rPr>
        <w:t xml:space="preserve">) </w:t>
      </w:r>
      <w:r w:rsidR="002D07C8">
        <w:rPr>
          <w:lang w:eastAsia="en-US"/>
        </w:rPr>
        <w:t xml:space="preserve">– consideram </w:t>
      </w:r>
      <w:r w:rsidR="002D07C8" w:rsidRPr="000E3D14">
        <w:rPr>
          <w:lang w:eastAsia="en-US"/>
        </w:rPr>
        <w:t xml:space="preserve">que </w:t>
      </w:r>
      <w:r w:rsidR="002D07C8">
        <w:rPr>
          <w:lang w:eastAsia="en-US"/>
        </w:rPr>
        <w:t xml:space="preserve">seu trabalho tem validade no sentido em que </w:t>
      </w:r>
      <w:r w:rsidR="002D07C8" w:rsidRPr="000E3D14">
        <w:rPr>
          <w:lang w:eastAsia="en-US"/>
        </w:rPr>
        <w:t>teve como intenção estabelecer um marco heurístico e não uma teoria sobre o fenômeno</w:t>
      </w:r>
      <w:r w:rsidR="002D07C8">
        <w:rPr>
          <w:lang w:eastAsia="en-US"/>
        </w:rPr>
        <w:t xml:space="preserve"> – crítica presente em Benson e Jordan (2011)</w:t>
      </w:r>
      <w:r w:rsidR="006A39A5">
        <w:rPr>
          <w:lang w:eastAsia="en-US"/>
        </w:rPr>
        <w:t xml:space="preserve"> -</w:t>
      </w:r>
      <w:r w:rsidR="002D07C8" w:rsidRPr="00654A13">
        <w:rPr>
          <w:lang w:eastAsia="en-US"/>
        </w:rPr>
        <w:t xml:space="preserve">“e se mantém ou não se outros </w:t>
      </w:r>
      <w:r w:rsidR="002D07C8">
        <w:rPr>
          <w:lang w:eastAsia="en-US"/>
        </w:rPr>
        <w:t xml:space="preserve">a acham </w:t>
      </w:r>
      <w:r w:rsidR="00550516">
        <w:rPr>
          <w:lang w:eastAsia="en-US"/>
        </w:rPr>
        <w:t xml:space="preserve"> </w:t>
      </w:r>
      <w:r w:rsidR="002D07C8">
        <w:rPr>
          <w:lang w:eastAsia="en-US"/>
        </w:rPr>
        <w:t>útil para compreender/</w:t>
      </w:r>
      <w:r w:rsidR="002D07C8" w:rsidRPr="00654A13">
        <w:rPr>
          <w:lang w:eastAsia="en-US"/>
        </w:rPr>
        <w:t>explicar os aspectos do processo de elaboração de políticas”</w:t>
      </w:r>
      <w:r w:rsidR="002D07C8">
        <w:rPr>
          <w:color w:val="008000"/>
          <w:lang w:eastAsia="en-US"/>
        </w:rPr>
        <w:t xml:space="preserve"> (</w:t>
      </w:r>
      <w:r w:rsidR="002D07C8">
        <w:t>DOLOWITZ &amp; MARSH, 2012)</w:t>
      </w:r>
      <w:r w:rsidR="002D07C8">
        <w:rPr>
          <w:color w:val="008000"/>
          <w:lang w:eastAsia="en-US"/>
        </w:rPr>
        <w:t xml:space="preserve">. </w:t>
      </w:r>
    </w:p>
    <w:p w:rsidR="002D07C8" w:rsidRPr="00BE503E" w:rsidRDefault="002D07C8" w:rsidP="002D07C8">
      <w:pPr>
        <w:spacing w:line="360" w:lineRule="auto"/>
        <w:ind w:firstLine="708"/>
        <w:jc w:val="both"/>
      </w:pPr>
      <w:r>
        <w:rPr>
          <w:lang w:eastAsia="en-US"/>
        </w:rPr>
        <w:t>E que, a</w:t>
      </w:r>
      <w:r w:rsidRPr="00287058">
        <w:rPr>
          <w:lang w:eastAsia="en-US"/>
        </w:rPr>
        <w:t xml:space="preserve">lém disso, </w:t>
      </w:r>
      <w:r>
        <w:rPr>
          <w:lang w:eastAsia="en-US"/>
        </w:rPr>
        <w:t>“</w:t>
      </w:r>
      <w:r w:rsidRPr="00287058">
        <w:rPr>
          <w:lang w:eastAsia="en-US"/>
        </w:rPr>
        <w:t>como qualquer modelo heurí</w:t>
      </w:r>
      <w:r>
        <w:rPr>
          <w:lang w:eastAsia="en-US"/>
        </w:rPr>
        <w:t xml:space="preserve">stico, ela tem sido, e deve </w:t>
      </w:r>
      <w:r w:rsidRPr="003750D8">
        <w:rPr>
          <w:lang w:eastAsia="en-US"/>
        </w:rPr>
        <w:t>ser</w:t>
      </w:r>
      <w:r>
        <w:rPr>
          <w:lang w:eastAsia="en-US"/>
        </w:rPr>
        <w:t xml:space="preserve"> desenvolvida / </w:t>
      </w:r>
      <w:r w:rsidRPr="00287058">
        <w:rPr>
          <w:lang w:eastAsia="en-US"/>
        </w:rPr>
        <w:t xml:space="preserve">melhorada por aqueles que a usam” </w:t>
      </w:r>
      <w:r w:rsidRPr="00287058">
        <w:t>(DOLOWITZ &amp; MARSH, 2012: 339</w:t>
      </w:r>
      <w:r>
        <w:t>. Tradução nossa</w:t>
      </w:r>
      <w:r w:rsidRPr="00287058">
        <w:t xml:space="preserve">). </w:t>
      </w:r>
      <w:r w:rsidRPr="00BE503E">
        <w:rPr>
          <w:lang w:eastAsia="en-US"/>
        </w:rPr>
        <w:t xml:space="preserve">Em resumo, os autores </w:t>
      </w:r>
      <w:r>
        <w:rPr>
          <w:lang w:eastAsia="en-US"/>
        </w:rPr>
        <w:t>defe</w:t>
      </w:r>
      <w:r w:rsidR="00A21AB4">
        <w:rPr>
          <w:lang w:eastAsia="en-US"/>
        </w:rPr>
        <w:t>n</w:t>
      </w:r>
      <w:r>
        <w:rPr>
          <w:lang w:eastAsia="en-US"/>
        </w:rPr>
        <w:t xml:space="preserve">dem a </w:t>
      </w:r>
      <w:r w:rsidRPr="00BE503E">
        <w:rPr>
          <w:lang w:eastAsia="en-US"/>
        </w:rPr>
        <w:t>necessidade de integração dessa literatura que considere o pluralismo do fenômeno e que “</w:t>
      </w:r>
      <w:r>
        <w:rPr>
          <w:lang w:eastAsia="en-US"/>
        </w:rPr>
        <w:t>e</w:t>
      </w:r>
      <w:r w:rsidRPr="008F00C2">
        <w:rPr>
          <w:lang w:eastAsia="en-US"/>
        </w:rPr>
        <w:t xml:space="preserve">videntemente, um conceito como transferência de políticas tem uma capacidade inata de </w:t>
      </w:r>
      <w:r>
        <w:rPr>
          <w:lang w:eastAsia="en-US"/>
        </w:rPr>
        <w:t>se combinar com muita</w:t>
      </w:r>
      <w:r w:rsidRPr="008F00C2">
        <w:rPr>
          <w:lang w:eastAsia="en-US"/>
        </w:rPr>
        <w:t xml:space="preserve">s </w:t>
      </w:r>
      <w:r>
        <w:rPr>
          <w:lang w:eastAsia="en-US"/>
        </w:rPr>
        <w:t xml:space="preserve">“ferramentas teóricas” </w:t>
      </w:r>
      <w:r w:rsidRPr="00BE503E">
        <w:t>(DOLOWITZ E MARSH, 2012</w:t>
      </w:r>
      <w:r>
        <w:t>).</w:t>
      </w:r>
    </w:p>
    <w:p w:rsidR="002D07C8" w:rsidRPr="00654A13" w:rsidRDefault="002D07C8" w:rsidP="002D07C8">
      <w:pPr>
        <w:spacing w:line="360" w:lineRule="auto"/>
        <w:jc w:val="both"/>
      </w:pPr>
      <w:r w:rsidRPr="00D43DB9">
        <w:tab/>
      </w:r>
      <w:r>
        <w:t xml:space="preserve">Nesse contexto, </w:t>
      </w:r>
      <w:r w:rsidRPr="00D43DB9">
        <w:t xml:space="preserve">Marsh e Evans (2012) </w:t>
      </w:r>
      <w:r>
        <w:t xml:space="preserve">defendem </w:t>
      </w:r>
      <w:r w:rsidRPr="00D43DB9">
        <w:t xml:space="preserve">que os trabalhos seminais de Dolowitz e Marsh (1996, 2000) continuam atraindo a atenção dos pesquisadores (apontam as mais de 2000 citações a essas contribuições) </w:t>
      </w:r>
      <w:r>
        <w:t xml:space="preserve">e </w:t>
      </w:r>
      <w:r w:rsidRPr="00D43DB9">
        <w:t xml:space="preserve">tem demonstrado que o </w:t>
      </w:r>
      <w:r w:rsidRPr="00D43DB9">
        <w:lastRenderedPageBreak/>
        <w:t xml:space="preserve">conceito </w:t>
      </w:r>
      <w:r>
        <w:t xml:space="preserve">permanece </w:t>
      </w:r>
      <w:r w:rsidRPr="00D43DB9">
        <w:t>se</w:t>
      </w:r>
      <w:r>
        <w:t>ndo</w:t>
      </w:r>
      <w:r w:rsidRPr="00D43DB9">
        <w:t xml:space="preserve"> útil para a investigação sobre o fenômeno</w:t>
      </w:r>
      <w:r>
        <w:t xml:space="preserve"> de intercâmbio de políticas. Para os pesquisadores, como todo conceito/modelo heurístico, cabe a comunidade que dele faz uso </w:t>
      </w:r>
      <w:r w:rsidRPr="00654A13">
        <w:t>e tem encontrado utilidade na aplicação desse protocolo de pesquisa</w:t>
      </w:r>
      <w:r>
        <w:t>, a tarefa de contínua revisão da abordagem de transferência</w:t>
      </w:r>
      <w:r w:rsidRPr="00654A13">
        <w:t>.</w:t>
      </w:r>
    </w:p>
    <w:p w:rsidR="00152F37" w:rsidRDefault="00152F37" w:rsidP="00152F37">
      <w:pPr>
        <w:spacing w:line="360" w:lineRule="auto"/>
        <w:ind w:firstLine="708"/>
        <w:jc w:val="both"/>
      </w:pPr>
      <w:r>
        <w:t>No tópico em que fazem um balanço da produção acadêmica no campo da transferência, Benson e Jordan (2011) identificam três maiores abordagens que vêm se desenvolvendo na área. Assim, definem como: a) a que surgiu visando “desenvolver teorias de transferência de políticas"; b) a vertente em que "os pesquisadores aplicaram esses argumentos teóricos a investigações cada vez mais empíricas"; c) bem como a linha em que "a investigação adotou uma postura mais normativa [...] promovendo ativamente à transferência de políticas como um meio de orientar e mesmo incentivar a inovação política" (BENSON; JORDAN, 2011. Tradução nossa). Cabe evidenciar que, segundo os autores, a segunda vertente vem ampliando o número de atores envolvidos no processo, principalmente no afastamento de uma visão estadocêntrica. Nesse escopo, são considerados na análise, por exemplo, atores como organizações supranacionais, grupos de pressão e grupos de “</w:t>
      </w:r>
      <w:r w:rsidRPr="00152F37">
        <w:rPr>
          <w:i/>
        </w:rPr>
        <w:t>transnational advocacy</w:t>
      </w:r>
      <w:r>
        <w:t xml:space="preserve">”. </w:t>
      </w:r>
    </w:p>
    <w:p w:rsidR="002D07C8" w:rsidRDefault="00152F37" w:rsidP="00152F37">
      <w:pPr>
        <w:spacing w:line="360" w:lineRule="auto"/>
        <w:ind w:firstLine="708"/>
        <w:jc w:val="both"/>
      </w:pPr>
      <w:r>
        <w:t>Por sua vez, n</w:t>
      </w:r>
      <w:r w:rsidR="002D07C8">
        <w:t xml:space="preserve">um esforço de mapear a literatura sobre transferência de políticas públicas Evans (2009) identifica </w:t>
      </w:r>
      <w:r w:rsidR="00834A0A">
        <w:t>sua diversidade</w:t>
      </w:r>
      <w:r w:rsidR="002D07C8">
        <w:t xml:space="preserve"> e </w:t>
      </w:r>
      <w:r w:rsidR="002D07C8" w:rsidRPr="00654A13">
        <w:t xml:space="preserve">defende </w:t>
      </w:r>
      <w:r w:rsidR="002D07C8">
        <w:t xml:space="preserve">ser </w:t>
      </w:r>
      <w:r w:rsidR="002D07C8" w:rsidRPr="00654A13">
        <w:t xml:space="preserve">possível conceber </w:t>
      </w:r>
      <w:r w:rsidR="002D07C8" w:rsidRPr="00B85997">
        <w:rPr>
          <w:i/>
        </w:rPr>
        <w:t xml:space="preserve">duas </w:t>
      </w:r>
      <w:r w:rsidR="002D07C8">
        <w:t>“escolas” na área</w:t>
      </w:r>
      <w:r w:rsidR="002D07C8" w:rsidRPr="00B85997">
        <w:t>:</w:t>
      </w:r>
      <w:r w:rsidR="002D07C8">
        <w:t>a primeira</w:t>
      </w:r>
      <w:r w:rsidR="002D07C8" w:rsidRPr="00654A13">
        <w:t xml:space="preserve"> não recorre diretamente ao conceito, mas lida com distintos aspectos do fenômeno lançando mão de outras nome</w:t>
      </w:r>
      <w:r w:rsidR="002D07C8">
        <w:t>n</w:t>
      </w:r>
      <w:r w:rsidR="002D07C8" w:rsidRPr="00654A13">
        <w:t xml:space="preserve">claturas e </w:t>
      </w:r>
      <w:r w:rsidR="002D07C8">
        <w:t xml:space="preserve">a outra </w:t>
      </w:r>
      <w:r w:rsidR="00834A0A">
        <w:t>teria</w:t>
      </w:r>
      <w:r w:rsidR="002D07C8">
        <w:t xml:space="preserve"> por característica a utilização </w:t>
      </w:r>
      <w:r w:rsidR="002D07C8" w:rsidRPr="00654A13">
        <w:t>direta</w:t>
      </w:r>
      <w:r w:rsidR="002D07C8">
        <w:t xml:space="preserve"> d</w:t>
      </w:r>
      <w:r w:rsidR="002D07C8" w:rsidRPr="00654A13">
        <w:t xml:space="preserve">o conceito. </w:t>
      </w:r>
      <w:r w:rsidR="002D07C8">
        <w:t xml:space="preserve">Dessa forma, </w:t>
      </w:r>
      <w:r w:rsidR="002D07C8" w:rsidRPr="00654A13">
        <w:t xml:space="preserve">o autor reconhece </w:t>
      </w:r>
      <w:r w:rsidR="002D07C8">
        <w:t xml:space="preserve">a possibilidade de </w:t>
      </w:r>
      <w:r w:rsidR="00834A0A">
        <w:t>identificar</w:t>
      </w:r>
      <w:r w:rsidR="002D07C8" w:rsidRPr="00654A13">
        <w:t xml:space="preserve">cinco abordagens principais: 1) </w:t>
      </w:r>
      <w:r w:rsidR="002D07C8">
        <w:t>a centrada no processo,</w:t>
      </w:r>
      <w:r w:rsidR="002D07C8" w:rsidRPr="00654A13">
        <w:t xml:space="preserve"> 2) </w:t>
      </w:r>
      <w:r w:rsidR="002D07C8">
        <w:t>a ideacional,</w:t>
      </w:r>
      <w:r w:rsidR="002D07C8" w:rsidRPr="00654A13">
        <w:t xml:space="preserve"> 3) </w:t>
      </w:r>
      <w:r w:rsidR="002D07C8">
        <w:t>a que se orienta pela prática</w:t>
      </w:r>
      <w:r w:rsidR="002D07C8" w:rsidRPr="00654A13">
        <w:t xml:space="preserve">; 4) </w:t>
      </w:r>
      <w:r w:rsidR="002D07C8">
        <w:t xml:space="preserve">a comparativa </w:t>
      </w:r>
      <w:r w:rsidR="002D07C8" w:rsidRPr="00654A13">
        <w:t xml:space="preserve">e 5) </w:t>
      </w:r>
      <w:r w:rsidR="002D07C8">
        <w:t>a multinível</w:t>
      </w:r>
      <w:r w:rsidR="002D07C8" w:rsidRPr="00654A13">
        <w:t xml:space="preserve">. </w:t>
      </w:r>
    </w:p>
    <w:p w:rsidR="00CA3A9E" w:rsidRDefault="00CA3A9E" w:rsidP="00BC1559">
      <w:pPr>
        <w:ind w:firstLine="708"/>
        <w:jc w:val="both"/>
      </w:pPr>
    </w:p>
    <w:p w:rsidR="00621C48" w:rsidRPr="007B2C70" w:rsidRDefault="0018519F" w:rsidP="007B2C70">
      <w:pPr>
        <w:spacing w:line="360" w:lineRule="auto"/>
        <w:jc w:val="both"/>
        <w:rPr>
          <w:b/>
        </w:rPr>
      </w:pPr>
      <w:r>
        <w:rPr>
          <w:b/>
        </w:rPr>
        <w:t xml:space="preserve">1.2 </w:t>
      </w:r>
      <w:r w:rsidR="00CA3A9E">
        <w:rPr>
          <w:b/>
        </w:rPr>
        <w:t xml:space="preserve">Breves apontamentos sobre Difusão e </w:t>
      </w:r>
      <w:r w:rsidR="00621C48" w:rsidRPr="007B2C70">
        <w:rPr>
          <w:b/>
        </w:rPr>
        <w:t>Transferência de Políticas</w:t>
      </w:r>
    </w:p>
    <w:p w:rsidR="002D07C8" w:rsidRDefault="002D07C8" w:rsidP="002D07C8">
      <w:pPr>
        <w:spacing w:line="360" w:lineRule="auto"/>
        <w:ind w:firstLine="708"/>
        <w:jc w:val="both"/>
      </w:pPr>
      <w:r>
        <w:t>Nesse ponto</w:t>
      </w:r>
      <w:r w:rsidR="007E4A8F">
        <w:t xml:space="preserve"> cabe apontar que, ao propor in</w:t>
      </w:r>
      <w:r>
        <w:t>vestigar as condicionantes domésticas da transferência internacional da Unidade de Pronta Atenção bem como o processo pelo qual a política pública em questão foi “transplantada”</w:t>
      </w:r>
      <w:r w:rsidR="00CB1C74">
        <w:t>,</w:t>
      </w:r>
      <w:r>
        <w:t xml:space="preserve"> nosso trabalho </w:t>
      </w:r>
      <w:r w:rsidR="00CB1C74">
        <w:t>se</w:t>
      </w:r>
      <w:r>
        <w:t xml:space="preserve"> localiza no debate teórico </w:t>
      </w:r>
      <w:r w:rsidR="00CB1C74">
        <w:t>da</w:t>
      </w:r>
      <w:r w:rsidR="00AE04D5">
        <w:t xml:space="preserve"> </w:t>
      </w:r>
      <w:r w:rsidR="00CB1C74">
        <w:t>“tradição”</w:t>
      </w:r>
      <w:r>
        <w:t xml:space="preserve"> que promove a análise de transferência considerando seus múltiplos níveis </w:t>
      </w:r>
      <w:r w:rsidRPr="00B81EDF">
        <w:t xml:space="preserve">(DOLOWITZ AND MARSH 1996, 2000; EVANS </w:t>
      </w:r>
      <w:r w:rsidR="001C7BE8">
        <w:t>e</w:t>
      </w:r>
      <w:r w:rsidR="00AE04D5">
        <w:t xml:space="preserve"> </w:t>
      </w:r>
      <w:r w:rsidRPr="00B81EDF">
        <w:t>DAVIES 1999; COMMON 2001; EVANS 2004b)</w:t>
      </w:r>
      <w:r>
        <w:t>. Nesse sentido, a próxima seção tem por objetivo traçar um quadro geral do modelo teórico adotado pela presente pesquisa.</w:t>
      </w:r>
    </w:p>
    <w:p w:rsidR="00D923CE" w:rsidRPr="00654A13" w:rsidRDefault="00D923CE" w:rsidP="00D923CE">
      <w:pPr>
        <w:spacing w:line="360" w:lineRule="auto"/>
        <w:ind w:firstLine="708"/>
        <w:jc w:val="both"/>
      </w:pPr>
      <w:r w:rsidRPr="00F65816">
        <w:t>Newmark (2002)</w:t>
      </w:r>
      <w:r w:rsidR="004C588C">
        <w:t>,</w:t>
      </w:r>
      <w:r>
        <w:t>frente ao desafio da pluralidade de nome</w:t>
      </w:r>
      <w:r w:rsidR="004C588C">
        <w:t>n</w:t>
      </w:r>
      <w:r>
        <w:t>clatura dos fenômenos de intercâmbio de políticas públicas</w:t>
      </w:r>
      <w:r w:rsidR="004C588C">
        <w:t>,</w:t>
      </w:r>
      <w:r>
        <w:t xml:space="preserve"> apo</w:t>
      </w:r>
      <w:r w:rsidRPr="00F65816">
        <w:t xml:space="preserve">nta </w:t>
      </w:r>
      <w:r>
        <w:t xml:space="preserve">que </w:t>
      </w:r>
      <w:r w:rsidRPr="004C7902">
        <w:t>as literaturas</w:t>
      </w:r>
      <w:r w:rsidRPr="00F65816">
        <w:t xml:space="preserve"> sobre </w:t>
      </w:r>
      <w:r w:rsidRPr="00F65816">
        <w:lastRenderedPageBreak/>
        <w:t>transferência e difusão de políticas públicas são similares em diversos aspectos</w:t>
      </w:r>
      <w:r>
        <w:t>,</w:t>
      </w:r>
      <w:r w:rsidRPr="00F65816">
        <w:t xml:space="preserve"> no sentido em que am</w:t>
      </w:r>
      <w:r>
        <w:t>b</w:t>
      </w:r>
      <w:r w:rsidRPr="00F65816">
        <w:t xml:space="preserve">as consideram </w:t>
      </w:r>
      <w:r>
        <w:t xml:space="preserve">os mesmos </w:t>
      </w:r>
      <w:r w:rsidRPr="0058263B">
        <w:rPr>
          <w:i/>
        </w:rPr>
        <w:t>agentes</w:t>
      </w:r>
      <w:r>
        <w:t xml:space="preserve"> e </w:t>
      </w:r>
      <w:r w:rsidRPr="0058263B">
        <w:rPr>
          <w:i/>
        </w:rPr>
        <w:t>processos</w:t>
      </w:r>
      <w:r>
        <w:t xml:space="preserve">. No sentido de enfrentar esse debate ao apontar a distinção das duas abordagens, </w:t>
      </w:r>
      <w:r w:rsidRPr="00D13F78">
        <w:t xml:space="preserve">para o autor a </w:t>
      </w:r>
      <w:r w:rsidR="00AE2CE5">
        <w:t>transferência de políticas</w:t>
      </w:r>
      <w:r w:rsidRPr="00D13F78">
        <w:t xml:space="preserve"> tem por característica o estudo de um conjunto diminuto de casos onde as pesquisas são conduzidas qualitativamente dedicando atenção minuciosa as nações ou governos nos dois lados da transferência. Em adição, indica que na medida em que se debruça de maneira detalhada sobre </w:t>
      </w:r>
      <w:r>
        <w:t xml:space="preserve">poucos </w:t>
      </w:r>
      <w:r w:rsidRPr="00D13F78">
        <w:t>caso</w:t>
      </w:r>
      <w:r>
        <w:t>s</w:t>
      </w:r>
      <w:r w:rsidRPr="00D13F78">
        <w:t xml:space="preserve"> a literatura </w:t>
      </w:r>
      <w:r w:rsidR="001C3175">
        <w:t xml:space="preserve">sobre </w:t>
      </w:r>
      <w:r w:rsidRPr="00D13F78">
        <w:t xml:space="preserve">a </w:t>
      </w:r>
      <w:r>
        <w:t>transferência</w:t>
      </w:r>
      <w:r w:rsidRPr="00D13F78">
        <w:t xml:space="preserve"> se ocupa com perguntas heurísticas sobre </w:t>
      </w:r>
      <w:r w:rsidRPr="00D13F78">
        <w:rPr>
          <w:i/>
        </w:rPr>
        <w:t>o que foi</w:t>
      </w:r>
      <w:r w:rsidRPr="00D13F78">
        <w:t xml:space="preserve">, </w:t>
      </w:r>
      <w:r w:rsidRPr="00D13F78">
        <w:rPr>
          <w:i/>
        </w:rPr>
        <w:t>quem estava envolvido</w:t>
      </w:r>
      <w:r w:rsidRPr="00D13F78">
        <w:t xml:space="preserve"> e </w:t>
      </w:r>
      <w:r w:rsidRPr="00D13F78">
        <w:rPr>
          <w:i/>
        </w:rPr>
        <w:t>como</w:t>
      </w:r>
      <w:r w:rsidRPr="00D13F78">
        <w:t xml:space="preserve"> ocorreu a troca de experiências. Assim, a </w:t>
      </w:r>
      <w:r w:rsidRPr="000E3D14">
        <w:t xml:space="preserve">consequência direta dessas pesquisas – </w:t>
      </w:r>
      <w:r w:rsidRPr="000E3D14">
        <w:rPr>
          <w:i/>
        </w:rPr>
        <w:t>“</w:t>
      </w:r>
      <w:r w:rsidR="00AE2CE5">
        <w:rPr>
          <w:i/>
        </w:rPr>
        <w:t xml:space="preserve">o custo desse tipo de </w:t>
      </w:r>
      <w:r w:rsidR="001C3175">
        <w:rPr>
          <w:i/>
        </w:rPr>
        <w:t>análise</w:t>
      </w:r>
      <w:r w:rsidR="001C3175" w:rsidRPr="00D13F78">
        <w:rPr>
          <w:i/>
          <w:lang w:eastAsia="en-US"/>
        </w:rPr>
        <w:t>”</w:t>
      </w:r>
      <w:r w:rsidR="001C3175" w:rsidRPr="00654A13">
        <w:rPr>
          <w:i/>
          <w:lang w:eastAsia="en-US"/>
        </w:rPr>
        <w:t xml:space="preserve"> –</w:t>
      </w:r>
      <w:r w:rsidRPr="00654A13">
        <w:rPr>
          <w:lang w:eastAsia="en-US"/>
        </w:rPr>
        <w:t xml:space="preserve">está na sua pouca capacidade de generalização vis a vis a abordagem sobre difusão. </w:t>
      </w:r>
    </w:p>
    <w:p w:rsidR="00D923CE" w:rsidRPr="00C42889" w:rsidRDefault="00D923CE" w:rsidP="00D923CE">
      <w:pPr>
        <w:autoSpaceDE w:val="0"/>
        <w:autoSpaceDN w:val="0"/>
        <w:adjustRightInd w:val="0"/>
        <w:spacing w:line="360" w:lineRule="auto"/>
        <w:jc w:val="both"/>
      </w:pPr>
      <w:r w:rsidRPr="00654A13">
        <w:rPr>
          <w:lang w:eastAsia="en-US"/>
        </w:rPr>
        <w:tab/>
      </w:r>
      <w:r w:rsidR="00B851FB">
        <w:rPr>
          <w:lang w:eastAsia="en-US"/>
        </w:rPr>
        <w:t xml:space="preserve">Não obstante, </w:t>
      </w:r>
      <w:r w:rsidR="005C431E" w:rsidRPr="00F65816">
        <w:t>Newmark (2002)</w:t>
      </w:r>
      <w:r w:rsidR="005C431E">
        <w:t xml:space="preserve"> indica que </w:t>
      </w:r>
      <w:r w:rsidR="005C431E">
        <w:rPr>
          <w:lang w:eastAsia="en-US"/>
        </w:rPr>
        <w:t xml:space="preserve">quando observado </w:t>
      </w:r>
      <w:r w:rsidRPr="00654A13">
        <w:rPr>
          <w:lang w:eastAsia="en-US"/>
        </w:rPr>
        <w:t xml:space="preserve">sobre </w:t>
      </w:r>
      <w:r w:rsidR="005C431E">
        <w:rPr>
          <w:lang w:eastAsia="en-US"/>
        </w:rPr>
        <w:t xml:space="preserve">os fenômenos de </w:t>
      </w:r>
      <w:r w:rsidRPr="00654A13">
        <w:rPr>
          <w:lang w:eastAsia="en-US"/>
        </w:rPr>
        <w:t>difusão de políticas públicas</w:t>
      </w:r>
      <w:r w:rsidR="005C431E">
        <w:rPr>
          <w:lang w:eastAsia="en-US"/>
        </w:rPr>
        <w:t xml:space="preserve"> é possível observar essa literatura </w:t>
      </w:r>
      <w:r w:rsidRPr="00654A13">
        <w:rPr>
          <w:lang w:eastAsia="en-US"/>
        </w:rPr>
        <w:t>concentra seu foco em um conjunto significativo de casos numa abordagem quantitativa envolvendo um conjunto de técnicas complexas de modelagem matemática. Nesse caso, as ferramentas utilizadas atuam no sentido de “</w:t>
      </w:r>
      <w:r w:rsidR="00D12B63">
        <w:rPr>
          <w:i/>
          <w:szCs w:val="22"/>
          <w:lang w:eastAsia="en-US"/>
        </w:rPr>
        <w:t>contar e prover</w:t>
      </w:r>
      <w:r w:rsidRPr="00654A13">
        <w:rPr>
          <w:i/>
          <w:szCs w:val="22"/>
          <w:lang w:eastAsia="en-US"/>
        </w:rPr>
        <w:t>”</w:t>
      </w:r>
      <w:r w:rsidRPr="00654A13">
        <w:rPr>
          <w:szCs w:val="22"/>
          <w:lang w:eastAsia="en-US"/>
        </w:rPr>
        <w:t xml:space="preserve"> a adoção de políticas dada às informações de proximidade geográfica e características do estado, nação ou governo. Sendo assim, os resultados obtidos buscam ser capazes de promover uma análise com uma capacidade de generalização muito maior do que as resultantes dos estudos de transferência de políticas públicas. Em relação às críticas direcionadas a abordagem sobre difusão, o autor aponta para sua concentração sobre os “adotantes” da política pública que resulta em pouca atenção ao processo de intercâmbio dessas experiências. </w:t>
      </w:r>
      <w:r w:rsidRPr="00654A13">
        <w:t>Nesse contexto, ao apontar as distinções de cada uma das abordagens é possível considerar as categorias de comparação indicadas na tabela abaixo (NEWMARK,</w:t>
      </w:r>
      <w:r w:rsidRPr="00F65816">
        <w:t>2002)</w:t>
      </w:r>
      <w:r>
        <w:t>.</w:t>
      </w:r>
    </w:p>
    <w:tbl>
      <w:tblPr>
        <w:tblpPr w:leftFromText="141" w:rightFromText="141" w:vertAnchor="text" w:horzAnchor="margin" w:tblpXSpec="center" w:tblpY="213"/>
        <w:tblW w:w="5945" w:type="dxa"/>
        <w:tblCellMar>
          <w:left w:w="70" w:type="dxa"/>
          <w:right w:w="70" w:type="dxa"/>
        </w:tblCellMar>
        <w:tblLook w:val="00A0"/>
      </w:tblPr>
      <w:tblGrid>
        <w:gridCol w:w="1714"/>
        <w:gridCol w:w="1878"/>
        <w:gridCol w:w="2353"/>
      </w:tblGrid>
      <w:tr w:rsidR="00D923CE" w:rsidRPr="00F31A21" w:rsidTr="005C431E">
        <w:trPr>
          <w:trHeight w:val="300"/>
        </w:trPr>
        <w:tc>
          <w:tcPr>
            <w:tcW w:w="5945" w:type="dxa"/>
            <w:gridSpan w:val="3"/>
            <w:tcBorders>
              <w:left w:val="nil"/>
              <w:bottom w:val="single" w:sz="4" w:space="0" w:color="auto"/>
              <w:right w:val="nil"/>
            </w:tcBorders>
            <w:noWrap/>
            <w:vAlign w:val="bottom"/>
          </w:tcPr>
          <w:p w:rsidR="00D923CE" w:rsidRPr="00F31A21" w:rsidRDefault="005C431E" w:rsidP="00D12B63">
            <w:pPr>
              <w:jc w:val="center"/>
              <w:rPr>
                <w:b/>
                <w:bCs/>
                <w:color w:val="000000"/>
              </w:rPr>
            </w:pPr>
            <w:r>
              <w:rPr>
                <w:b/>
                <w:bCs/>
                <w:color w:val="000000"/>
                <w:szCs w:val="22"/>
              </w:rPr>
              <w:t>Tabela 1:</w:t>
            </w:r>
            <w:r w:rsidR="00E73E9B">
              <w:rPr>
                <w:b/>
                <w:bCs/>
                <w:color w:val="000000"/>
                <w:szCs w:val="22"/>
              </w:rPr>
              <w:t xml:space="preserve"> </w:t>
            </w:r>
            <w:r w:rsidR="00D923CE" w:rsidRPr="00F31A21">
              <w:rPr>
                <w:b/>
                <w:bCs/>
                <w:color w:val="000000"/>
                <w:szCs w:val="22"/>
              </w:rPr>
              <w:t xml:space="preserve">Comparação: </w:t>
            </w:r>
            <w:r w:rsidR="00D12B63">
              <w:rPr>
                <w:b/>
                <w:bCs/>
                <w:color w:val="000000"/>
                <w:szCs w:val="22"/>
              </w:rPr>
              <w:t>Transferência e Difusão</w:t>
            </w:r>
          </w:p>
        </w:tc>
      </w:tr>
      <w:tr w:rsidR="00D923CE" w:rsidRPr="00F31A21" w:rsidTr="002E272D">
        <w:trPr>
          <w:trHeight w:val="300"/>
        </w:trPr>
        <w:tc>
          <w:tcPr>
            <w:tcW w:w="1714" w:type="dxa"/>
            <w:tcBorders>
              <w:top w:val="nil"/>
              <w:left w:val="nil"/>
              <w:bottom w:val="single" w:sz="4" w:space="0" w:color="auto"/>
              <w:right w:val="nil"/>
            </w:tcBorders>
            <w:noWrap/>
            <w:vAlign w:val="bottom"/>
          </w:tcPr>
          <w:p w:rsidR="00D923CE" w:rsidRPr="00F31A21" w:rsidRDefault="00D923CE" w:rsidP="002E272D">
            <w:pPr>
              <w:jc w:val="center"/>
              <w:rPr>
                <w:b/>
                <w:bCs/>
                <w:color w:val="000000"/>
              </w:rPr>
            </w:pPr>
            <w:r w:rsidRPr="00F31A21">
              <w:rPr>
                <w:b/>
                <w:bCs/>
                <w:color w:val="000000"/>
                <w:szCs w:val="22"/>
              </w:rPr>
              <w:t> </w:t>
            </w:r>
          </w:p>
        </w:tc>
        <w:tc>
          <w:tcPr>
            <w:tcW w:w="1878" w:type="dxa"/>
            <w:tcBorders>
              <w:top w:val="nil"/>
              <w:left w:val="nil"/>
              <w:bottom w:val="single" w:sz="4" w:space="0" w:color="auto"/>
              <w:right w:val="nil"/>
            </w:tcBorders>
            <w:noWrap/>
            <w:vAlign w:val="bottom"/>
          </w:tcPr>
          <w:p w:rsidR="00D923CE" w:rsidRPr="00F31A21" w:rsidRDefault="00D12B63" w:rsidP="001131F9">
            <w:pPr>
              <w:jc w:val="center"/>
              <w:rPr>
                <w:b/>
                <w:bCs/>
                <w:color w:val="000000"/>
              </w:rPr>
            </w:pPr>
            <w:r>
              <w:rPr>
                <w:b/>
                <w:bCs/>
                <w:color w:val="000000"/>
                <w:szCs w:val="22"/>
              </w:rPr>
              <w:t>Transfer</w:t>
            </w:r>
            <w:r w:rsidR="001131F9">
              <w:rPr>
                <w:b/>
                <w:bCs/>
                <w:color w:val="000000"/>
                <w:szCs w:val="22"/>
              </w:rPr>
              <w:t>ência</w:t>
            </w:r>
          </w:p>
        </w:tc>
        <w:tc>
          <w:tcPr>
            <w:tcW w:w="2353" w:type="dxa"/>
            <w:tcBorders>
              <w:top w:val="nil"/>
              <w:left w:val="nil"/>
              <w:bottom w:val="single" w:sz="4" w:space="0" w:color="auto"/>
              <w:right w:val="nil"/>
            </w:tcBorders>
            <w:noWrap/>
            <w:vAlign w:val="bottom"/>
          </w:tcPr>
          <w:p w:rsidR="00D923CE" w:rsidRPr="00F31A21" w:rsidRDefault="00D12B63" w:rsidP="002E272D">
            <w:pPr>
              <w:jc w:val="center"/>
              <w:rPr>
                <w:b/>
                <w:bCs/>
                <w:color w:val="000000"/>
              </w:rPr>
            </w:pPr>
            <w:r>
              <w:rPr>
                <w:b/>
                <w:bCs/>
                <w:color w:val="000000"/>
                <w:szCs w:val="22"/>
              </w:rPr>
              <w:t>Difusão</w:t>
            </w:r>
          </w:p>
        </w:tc>
      </w:tr>
      <w:tr w:rsidR="00D923CE" w:rsidRPr="00F31A21" w:rsidTr="002E272D">
        <w:trPr>
          <w:trHeight w:val="300"/>
        </w:trPr>
        <w:tc>
          <w:tcPr>
            <w:tcW w:w="1714" w:type="dxa"/>
            <w:tcBorders>
              <w:top w:val="nil"/>
              <w:left w:val="nil"/>
              <w:bottom w:val="nil"/>
              <w:right w:val="nil"/>
            </w:tcBorders>
            <w:noWrap/>
            <w:vAlign w:val="bottom"/>
          </w:tcPr>
          <w:p w:rsidR="00D923CE" w:rsidRPr="00F31A21" w:rsidRDefault="00D923CE" w:rsidP="002E272D">
            <w:pPr>
              <w:jc w:val="center"/>
              <w:rPr>
                <w:b/>
                <w:bCs/>
                <w:color w:val="000000"/>
              </w:rPr>
            </w:pPr>
            <w:r w:rsidRPr="00F31A21">
              <w:rPr>
                <w:b/>
                <w:bCs/>
                <w:color w:val="000000"/>
                <w:szCs w:val="22"/>
              </w:rPr>
              <w:t>Casos</w:t>
            </w:r>
          </w:p>
        </w:tc>
        <w:tc>
          <w:tcPr>
            <w:tcW w:w="1878"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Poucos casos</w:t>
            </w:r>
          </w:p>
        </w:tc>
        <w:tc>
          <w:tcPr>
            <w:tcW w:w="2353"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Vários Casos</w:t>
            </w:r>
          </w:p>
        </w:tc>
      </w:tr>
      <w:tr w:rsidR="00D923CE" w:rsidRPr="00F31A21" w:rsidTr="002E272D">
        <w:trPr>
          <w:trHeight w:val="300"/>
        </w:trPr>
        <w:tc>
          <w:tcPr>
            <w:tcW w:w="1714" w:type="dxa"/>
            <w:tcBorders>
              <w:top w:val="nil"/>
              <w:left w:val="nil"/>
              <w:bottom w:val="nil"/>
              <w:right w:val="nil"/>
            </w:tcBorders>
            <w:noWrap/>
            <w:vAlign w:val="bottom"/>
          </w:tcPr>
          <w:p w:rsidR="00D923CE" w:rsidRPr="00F31A21" w:rsidRDefault="00D923CE" w:rsidP="002E272D">
            <w:pPr>
              <w:jc w:val="center"/>
              <w:rPr>
                <w:b/>
                <w:bCs/>
                <w:color w:val="000000"/>
              </w:rPr>
            </w:pPr>
            <w:r w:rsidRPr="00F31A21">
              <w:rPr>
                <w:b/>
                <w:bCs/>
                <w:color w:val="000000"/>
                <w:szCs w:val="22"/>
              </w:rPr>
              <w:t>Metodologia</w:t>
            </w:r>
          </w:p>
        </w:tc>
        <w:tc>
          <w:tcPr>
            <w:tcW w:w="1878"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Qualitativa</w:t>
            </w:r>
          </w:p>
        </w:tc>
        <w:tc>
          <w:tcPr>
            <w:tcW w:w="2353"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Quantitativa</w:t>
            </w:r>
          </w:p>
        </w:tc>
      </w:tr>
      <w:tr w:rsidR="00D923CE" w:rsidRPr="00F31A21" w:rsidTr="002E272D">
        <w:trPr>
          <w:trHeight w:val="300"/>
        </w:trPr>
        <w:tc>
          <w:tcPr>
            <w:tcW w:w="1714" w:type="dxa"/>
            <w:tcBorders>
              <w:top w:val="nil"/>
              <w:left w:val="nil"/>
              <w:bottom w:val="nil"/>
              <w:right w:val="nil"/>
            </w:tcBorders>
            <w:noWrap/>
            <w:vAlign w:val="bottom"/>
          </w:tcPr>
          <w:p w:rsidR="00D923CE" w:rsidRPr="004C7902" w:rsidRDefault="00D923CE" w:rsidP="002E272D">
            <w:pPr>
              <w:jc w:val="center"/>
              <w:rPr>
                <w:b/>
                <w:bCs/>
                <w:iCs/>
                <w:color w:val="000000"/>
              </w:rPr>
            </w:pPr>
            <w:r w:rsidRPr="004C7902">
              <w:rPr>
                <w:b/>
                <w:bCs/>
                <w:iCs/>
                <w:color w:val="000000"/>
                <w:szCs w:val="22"/>
              </w:rPr>
              <w:t>Generalização</w:t>
            </w:r>
          </w:p>
        </w:tc>
        <w:tc>
          <w:tcPr>
            <w:tcW w:w="1878"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Baixo grau</w:t>
            </w:r>
          </w:p>
        </w:tc>
        <w:tc>
          <w:tcPr>
            <w:tcW w:w="2353"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Alto grau</w:t>
            </w:r>
          </w:p>
        </w:tc>
      </w:tr>
      <w:tr w:rsidR="00D923CE" w:rsidRPr="00F31A21" w:rsidTr="002E272D">
        <w:trPr>
          <w:trHeight w:val="300"/>
        </w:trPr>
        <w:tc>
          <w:tcPr>
            <w:tcW w:w="1714" w:type="dxa"/>
            <w:tcBorders>
              <w:top w:val="nil"/>
              <w:left w:val="nil"/>
              <w:bottom w:val="nil"/>
              <w:right w:val="nil"/>
            </w:tcBorders>
            <w:noWrap/>
            <w:vAlign w:val="bottom"/>
          </w:tcPr>
          <w:p w:rsidR="00D923CE" w:rsidRPr="004C7902" w:rsidRDefault="00D923CE" w:rsidP="002E272D">
            <w:pPr>
              <w:jc w:val="center"/>
              <w:rPr>
                <w:b/>
                <w:bCs/>
                <w:iCs/>
                <w:color w:val="000000"/>
              </w:rPr>
            </w:pPr>
            <w:r w:rsidRPr="004C7902">
              <w:rPr>
                <w:b/>
                <w:bCs/>
                <w:iCs/>
                <w:color w:val="000000"/>
                <w:szCs w:val="22"/>
              </w:rPr>
              <w:t>Modelagem</w:t>
            </w:r>
          </w:p>
        </w:tc>
        <w:tc>
          <w:tcPr>
            <w:tcW w:w="1878"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Pouc</w:t>
            </w:r>
            <w:r>
              <w:rPr>
                <w:color w:val="000000"/>
                <w:szCs w:val="22"/>
              </w:rPr>
              <w:t>a</w:t>
            </w:r>
          </w:p>
        </w:tc>
        <w:tc>
          <w:tcPr>
            <w:tcW w:w="2353" w:type="dxa"/>
            <w:tcBorders>
              <w:top w:val="nil"/>
              <w:left w:val="nil"/>
              <w:bottom w:val="nil"/>
              <w:right w:val="nil"/>
            </w:tcBorders>
            <w:noWrap/>
            <w:vAlign w:val="bottom"/>
          </w:tcPr>
          <w:p w:rsidR="00D923CE" w:rsidRPr="00F31A21" w:rsidRDefault="00D923CE" w:rsidP="002E272D">
            <w:pPr>
              <w:jc w:val="center"/>
              <w:rPr>
                <w:color w:val="000000"/>
              </w:rPr>
            </w:pPr>
            <w:r w:rsidRPr="00F31A21">
              <w:rPr>
                <w:color w:val="000000"/>
                <w:szCs w:val="22"/>
              </w:rPr>
              <w:t>Complexo/Matemático</w:t>
            </w:r>
          </w:p>
        </w:tc>
      </w:tr>
      <w:tr w:rsidR="00D923CE" w:rsidRPr="00F31A21" w:rsidTr="002E272D">
        <w:trPr>
          <w:trHeight w:val="300"/>
        </w:trPr>
        <w:tc>
          <w:tcPr>
            <w:tcW w:w="1714" w:type="dxa"/>
            <w:tcBorders>
              <w:top w:val="nil"/>
              <w:left w:val="nil"/>
              <w:bottom w:val="single" w:sz="4" w:space="0" w:color="auto"/>
              <w:right w:val="nil"/>
            </w:tcBorders>
            <w:noWrap/>
            <w:vAlign w:val="bottom"/>
          </w:tcPr>
          <w:p w:rsidR="00D923CE" w:rsidRPr="004C7902" w:rsidRDefault="00D923CE" w:rsidP="002E272D">
            <w:pPr>
              <w:jc w:val="center"/>
              <w:rPr>
                <w:b/>
                <w:bCs/>
                <w:iCs/>
                <w:color w:val="000000"/>
              </w:rPr>
            </w:pPr>
            <w:r w:rsidRPr="004C7902">
              <w:rPr>
                <w:b/>
                <w:bCs/>
                <w:iCs/>
                <w:color w:val="000000"/>
                <w:szCs w:val="22"/>
              </w:rPr>
              <w:t>Predição</w:t>
            </w:r>
          </w:p>
        </w:tc>
        <w:tc>
          <w:tcPr>
            <w:tcW w:w="1878" w:type="dxa"/>
            <w:tcBorders>
              <w:top w:val="nil"/>
              <w:left w:val="nil"/>
              <w:bottom w:val="single" w:sz="4" w:space="0" w:color="auto"/>
              <w:right w:val="nil"/>
            </w:tcBorders>
            <w:noWrap/>
            <w:vAlign w:val="bottom"/>
          </w:tcPr>
          <w:p w:rsidR="00D923CE" w:rsidRPr="00F31A21" w:rsidRDefault="00D923CE" w:rsidP="002E272D">
            <w:pPr>
              <w:jc w:val="center"/>
              <w:rPr>
                <w:color w:val="000000"/>
              </w:rPr>
            </w:pPr>
            <w:r>
              <w:rPr>
                <w:color w:val="000000"/>
                <w:szCs w:val="22"/>
              </w:rPr>
              <w:t>Nenhuma</w:t>
            </w:r>
          </w:p>
        </w:tc>
        <w:tc>
          <w:tcPr>
            <w:tcW w:w="2353" w:type="dxa"/>
            <w:tcBorders>
              <w:top w:val="nil"/>
              <w:left w:val="nil"/>
              <w:bottom w:val="single" w:sz="4" w:space="0" w:color="auto"/>
              <w:right w:val="nil"/>
            </w:tcBorders>
            <w:noWrap/>
            <w:vAlign w:val="bottom"/>
          </w:tcPr>
          <w:p w:rsidR="00D923CE" w:rsidRPr="00F31A21" w:rsidRDefault="00D923CE" w:rsidP="002E272D">
            <w:pPr>
              <w:keepNext/>
              <w:jc w:val="center"/>
              <w:rPr>
                <w:color w:val="000000"/>
              </w:rPr>
            </w:pPr>
            <w:r w:rsidRPr="00F31A21">
              <w:rPr>
                <w:color w:val="000000"/>
                <w:szCs w:val="22"/>
              </w:rPr>
              <w:t>Alto grau</w:t>
            </w:r>
          </w:p>
        </w:tc>
      </w:tr>
    </w:tbl>
    <w:p w:rsidR="00D923CE" w:rsidRDefault="00D923CE" w:rsidP="00D923CE">
      <w:pPr>
        <w:pStyle w:val="Legenda"/>
        <w:jc w:val="center"/>
        <w:rPr>
          <w:b w:val="0"/>
          <w:color w:val="auto"/>
          <w:lang w:val="en-US"/>
        </w:rPr>
      </w:pPr>
    </w:p>
    <w:p w:rsidR="00D923CE" w:rsidRDefault="00D923CE" w:rsidP="00D923CE">
      <w:pPr>
        <w:pStyle w:val="Legenda"/>
        <w:jc w:val="center"/>
        <w:rPr>
          <w:b w:val="0"/>
          <w:color w:val="auto"/>
          <w:lang w:val="en-US"/>
        </w:rPr>
      </w:pPr>
    </w:p>
    <w:p w:rsidR="00E73E9B" w:rsidRDefault="00E73E9B" w:rsidP="00D923CE">
      <w:pPr>
        <w:pStyle w:val="Legenda"/>
        <w:jc w:val="center"/>
        <w:rPr>
          <w:b w:val="0"/>
          <w:color w:val="auto"/>
        </w:rPr>
      </w:pPr>
    </w:p>
    <w:p w:rsidR="00E73E9B" w:rsidRDefault="00E73E9B" w:rsidP="00D923CE">
      <w:pPr>
        <w:pStyle w:val="Legenda"/>
        <w:jc w:val="center"/>
        <w:rPr>
          <w:b w:val="0"/>
          <w:color w:val="auto"/>
        </w:rPr>
      </w:pPr>
    </w:p>
    <w:p w:rsidR="00E73E9B" w:rsidRDefault="00E73E9B" w:rsidP="00D923CE">
      <w:pPr>
        <w:pStyle w:val="Legenda"/>
        <w:jc w:val="center"/>
        <w:rPr>
          <w:b w:val="0"/>
          <w:color w:val="auto"/>
        </w:rPr>
      </w:pPr>
    </w:p>
    <w:p w:rsidR="00E73E9B" w:rsidRDefault="00E73E9B" w:rsidP="00D923CE">
      <w:pPr>
        <w:pStyle w:val="Legenda"/>
        <w:jc w:val="center"/>
        <w:rPr>
          <w:b w:val="0"/>
          <w:color w:val="auto"/>
        </w:rPr>
      </w:pPr>
    </w:p>
    <w:p w:rsidR="00D923CE" w:rsidRPr="006B7B00" w:rsidRDefault="00D923CE" w:rsidP="00D923CE">
      <w:pPr>
        <w:pStyle w:val="Legenda"/>
        <w:jc w:val="center"/>
        <w:rPr>
          <w:b w:val="0"/>
          <w:color w:val="auto"/>
        </w:rPr>
      </w:pPr>
      <w:r w:rsidRPr="006B7B00">
        <w:rPr>
          <w:b w:val="0"/>
          <w:color w:val="auto"/>
        </w:rPr>
        <w:t>Traduzido pelo autor. Fonte: Newmark (2002)</w:t>
      </w:r>
    </w:p>
    <w:p w:rsidR="00D923CE" w:rsidRPr="00F65816" w:rsidRDefault="00D923CE" w:rsidP="00D923CE">
      <w:pPr>
        <w:spacing w:line="360" w:lineRule="auto"/>
        <w:ind w:firstLine="708"/>
        <w:jc w:val="both"/>
        <w:rPr>
          <w:b/>
        </w:rPr>
      </w:pPr>
      <w:r w:rsidRPr="009B003D">
        <w:t>De acordo com Newmark (2002)</w:t>
      </w:r>
      <w:r w:rsidR="0011690D">
        <w:t xml:space="preserve">, chama a atenção </w:t>
      </w:r>
      <w:r>
        <w:t xml:space="preserve">o fato da </w:t>
      </w:r>
      <w:r w:rsidRPr="009B003D">
        <w:t xml:space="preserve">difusão </w:t>
      </w:r>
      <w:r>
        <w:t xml:space="preserve">e </w:t>
      </w:r>
      <w:r w:rsidRPr="009B003D">
        <w:t xml:space="preserve">a transferência </w:t>
      </w:r>
      <w:r>
        <w:t xml:space="preserve">serem </w:t>
      </w:r>
      <w:r w:rsidRPr="009B003D">
        <w:t xml:space="preserve">fenômenos de caráter </w:t>
      </w:r>
      <w:r w:rsidRPr="001131F9">
        <w:rPr>
          <w:i/>
        </w:rPr>
        <w:t>multidimensional</w:t>
      </w:r>
      <w:r w:rsidR="001F6FC5">
        <w:rPr>
          <w:i/>
        </w:rPr>
        <w:t xml:space="preserve"> </w:t>
      </w:r>
      <w:r w:rsidRPr="009B003D">
        <w:t xml:space="preserve">e </w:t>
      </w:r>
      <w:r w:rsidRPr="001131F9">
        <w:rPr>
          <w:i/>
        </w:rPr>
        <w:t>multidisciplinar</w:t>
      </w:r>
      <w:r w:rsidRPr="001131F9">
        <w:t>.</w:t>
      </w:r>
      <w:r w:rsidR="00131C4B">
        <w:t xml:space="preserve"> </w:t>
      </w:r>
      <w:r w:rsidRPr="00654A13">
        <w:t xml:space="preserve">Para o </w:t>
      </w:r>
      <w:r w:rsidRPr="00654A13">
        <w:lastRenderedPageBreak/>
        <w:t xml:space="preserve">autor, o primeiro “é um fenômeno </w:t>
      </w:r>
      <w:r w:rsidRPr="001131F9">
        <w:rPr>
          <w:i/>
        </w:rPr>
        <w:t>internacional</w:t>
      </w:r>
      <w:r w:rsidRPr="001131F9">
        <w:t xml:space="preserve"> e </w:t>
      </w:r>
      <w:r w:rsidRPr="001131F9">
        <w:rPr>
          <w:i/>
        </w:rPr>
        <w:t>multidimensional</w:t>
      </w:r>
      <w:r w:rsidRPr="00654A13">
        <w:t>”</w:t>
      </w:r>
      <w:r w:rsidRPr="00654A13">
        <w:rPr>
          <w:lang w:eastAsia="en-US"/>
        </w:rPr>
        <w:t xml:space="preserve"> e o segundo “é também </w:t>
      </w:r>
      <w:r w:rsidRPr="001131F9">
        <w:rPr>
          <w:i/>
          <w:lang w:eastAsia="en-US"/>
        </w:rPr>
        <w:t>multidisciplinar</w:t>
      </w:r>
      <w:r w:rsidRPr="00654A13">
        <w:rPr>
          <w:lang w:eastAsia="en-US"/>
        </w:rPr>
        <w:t xml:space="preserve"> e ocorre entre diferentes entidades, </w:t>
      </w:r>
      <w:r w:rsidR="0011690D" w:rsidRPr="00654A13">
        <w:rPr>
          <w:lang w:eastAsia="en-US"/>
        </w:rPr>
        <w:t>organizações e governos</w:t>
      </w:r>
      <w:r w:rsidR="00B851FB">
        <w:rPr>
          <w:lang w:eastAsia="en-US"/>
        </w:rPr>
        <w:t xml:space="preserve"> (Evans e Davies, </w:t>
      </w:r>
      <w:r w:rsidRPr="009B003D">
        <w:rPr>
          <w:lang w:eastAsia="en-US"/>
        </w:rPr>
        <w:t xml:space="preserve">1999.Grifo nosso). </w:t>
      </w:r>
      <w:r>
        <w:t xml:space="preserve">Diante das similaridades o autor advoga por uma integração das duas literaturas no sentido desenvolver um </w:t>
      </w:r>
      <w:r w:rsidRPr="00F31A21">
        <w:rPr>
          <w:i/>
        </w:rPr>
        <w:t>continuum</w:t>
      </w:r>
      <w:r>
        <w:t xml:space="preserve"> em favor de uma variação de graus em que se opera a difusão de políticas públicas.</w:t>
      </w:r>
    </w:p>
    <w:tbl>
      <w:tblPr>
        <w:tblW w:w="7925" w:type="dxa"/>
        <w:jc w:val="center"/>
        <w:tblCellMar>
          <w:left w:w="70" w:type="dxa"/>
          <w:right w:w="70" w:type="dxa"/>
        </w:tblCellMar>
        <w:tblLook w:val="00A0"/>
      </w:tblPr>
      <w:tblGrid>
        <w:gridCol w:w="7925"/>
      </w:tblGrid>
      <w:tr w:rsidR="00D923CE" w:rsidRPr="00A70BCF" w:rsidTr="002E272D">
        <w:trPr>
          <w:trHeight w:val="300"/>
          <w:jc w:val="center"/>
        </w:trPr>
        <w:tc>
          <w:tcPr>
            <w:tcW w:w="7925" w:type="dxa"/>
            <w:tcBorders>
              <w:top w:val="nil"/>
              <w:left w:val="nil"/>
              <w:bottom w:val="single" w:sz="4" w:space="0" w:color="auto"/>
              <w:right w:val="nil"/>
            </w:tcBorders>
            <w:noWrap/>
            <w:vAlign w:val="bottom"/>
          </w:tcPr>
          <w:p w:rsidR="00D923CE" w:rsidRPr="00A70BCF" w:rsidRDefault="003E7C74" w:rsidP="0094461F">
            <w:pPr>
              <w:jc w:val="center"/>
              <w:rPr>
                <w:b/>
                <w:color w:val="000000"/>
              </w:rPr>
            </w:pPr>
            <w:r>
              <w:rPr>
                <w:b/>
                <w:color w:val="000000"/>
                <w:szCs w:val="22"/>
              </w:rPr>
              <w:t xml:space="preserve">Tabela 2. </w:t>
            </w:r>
            <w:r w:rsidR="00D923CE" w:rsidRPr="00A70BCF">
              <w:rPr>
                <w:b/>
                <w:color w:val="000000"/>
                <w:szCs w:val="22"/>
              </w:rPr>
              <w:t>CONTINUUM</w:t>
            </w:r>
            <w:r w:rsidR="0094461F">
              <w:rPr>
                <w:b/>
                <w:color w:val="000000"/>
                <w:szCs w:val="22"/>
              </w:rPr>
              <w:t>DA DIF</w:t>
            </w:r>
            <w:r w:rsidR="0094461F" w:rsidRPr="00A70BCF">
              <w:rPr>
                <w:b/>
                <w:color w:val="000000"/>
                <w:szCs w:val="22"/>
              </w:rPr>
              <w:t>US</w:t>
            </w:r>
            <w:r w:rsidR="0094461F">
              <w:rPr>
                <w:b/>
                <w:color w:val="000000"/>
                <w:szCs w:val="22"/>
              </w:rPr>
              <w:t>ÃO</w:t>
            </w:r>
          </w:p>
        </w:tc>
      </w:tr>
      <w:tr w:rsidR="00D923CE" w:rsidRPr="00A70BCF" w:rsidTr="002E272D">
        <w:trPr>
          <w:trHeight w:val="300"/>
          <w:jc w:val="center"/>
        </w:trPr>
        <w:tc>
          <w:tcPr>
            <w:tcW w:w="7925" w:type="dxa"/>
            <w:tcBorders>
              <w:top w:val="nil"/>
              <w:left w:val="nil"/>
              <w:bottom w:val="nil"/>
              <w:right w:val="nil"/>
            </w:tcBorders>
            <w:noWrap/>
            <w:vAlign w:val="bottom"/>
          </w:tcPr>
          <w:p w:rsidR="00D923CE" w:rsidRPr="00A70BCF" w:rsidRDefault="00D923CE" w:rsidP="0094461F">
            <w:pPr>
              <w:jc w:val="center"/>
              <w:rPr>
                <w:color w:val="000000"/>
              </w:rPr>
            </w:pPr>
            <w:r w:rsidRPr="00A70BCF">
              <w:rPr>
                <w:color w:val="000000"/>
                <w:szCs w:val="22"/>
              </w:rPr>
              <w:t>Dif</w:t>
            </w:r>
            <w:r w:rsidR="0094461F">
              <w:rPr>
                <w:color w:val="000000"/>
                <w:szCs w:val="22"/>
              </w:rPr>
              <w:t>usão</w:t>
            </w:r>
          </w:p>
        </w:tc>
      </w:tr>
      <w:tr w:rsidR="00D923CE" w:rsidRPr="00A70BCF" w:rsidTr="002E272D">
        <w:trPr>
          <w:trHeight w:val="300"/>
          <w:jc w:val="center"/>
        </w:trPr>
        <w:tc>
          <w:tcPr>
            <w:tcW w:w="7925" w:type="dxa"/>
            <w:tcBorders>
              <w:top w:val="nil"/>
              <w:left w:val="nil"/>
              <w:bottom w:val="nil"/>
              <w:right w:val="nil"/>
            </w:tcBorders>
            <w:noWrap/>
            <w:vAlign w:val="bottom"/>
          </w:tcPr>
          <w:p w:rsidR="00D923CE" w:rsidRPr="00A70BCF" w:rsidRDefault="0094461F" w:rsidP="0094461F">
            <w:pPr>
              <w:jc w:val="center"/>
              <w:rPr>
                <w:color w:val="000000"/>
              </w:rPr>
            </w:pPr>
            <w:r>
              <w:rPr>
                <w:color w:val="000000"/>
                <w:szCs w:val="22"/>
              </w:rPr>
              <w:t>Convergê</w:t>
            </w:r>
            <w:r w:rsidR="00D923CE" w:rsidRPr="00A70BCF">
              <w:rPr>
                <w:color w:val="000000"/>
                <w:szCs w:val="22"/>
              </w:rPr>
              <w:t>nc</w:t>
            </w:r>
            <w:r>
              <w:rPr>
                <w:color w:val="000000"/>
                <w:szCs w:val="22"/>
              </w:rPr>
              <w:t>ia</w:t>
            </w:r>
          </w:p>
        </w:tc>
      </w:tr>
      <w:tr w:rsidR="00D923CE" w:rsidRPr="00A70BCF" w:rsidTr="005C431E">
        <w:trPr>
          <w:trHeight w:val="300"/>
          <w:jc w:val="center"/>
        </w:trPr>
        <w:tc>
          <w:tcPr>
            <w:tcW w:w="7925" w:type="dxa"/>
            <w:tcBorders>
              <w:top w:val="nil"/>
              <w:left w:val="nil"/>
              <w:right w:val="nil"/>
            </w:tcBorders>
            <w:noWrap/>
            <w:vAlign w:val="bottom"/>
          </w:tcPr>
          <w:p w:rsidR="00D923CE" w:rsidRPr="00A70BCF" w:rsidRDefault="0094461F" w:rsidP="0094461F">
            <w:pPr>
              <w:jc w:val="center"/>
              <w:rPr>
                <w:color w:val="000000"/>
              </w:rPr>
            </w:pPr>
            <w:r>
              <w:rPr>
                <w:color w:val="000000"/>
                <w:szCs w:val="22"/>
              </w:rPr>
              <w:t>Transferência</w:t>
            </w:r>
          </w:p>
        </w:tc>
      </w:tr>
      <w:tr w:rsidR="00D923CE" w:rsidRPr="00A70BCF" w:rsidTr="005C431E">
        <w:trPr>
          <w:trHeight w:val="300"/>
          <w:jc w:val="center"/>
        </w:trPr>
        <w:tc>
          <w:tcPr>
            <w:tcW w:w="7925" w:type="dxa"/>
            <w:tcBorders>
              <w:top w:val="nil"/>
              <w:left w:val="nil"/>
              <w:bottom w:val="single" w:sz="4" w:space="0" w:color="auto"/>
              <w:right w:val="nil"/>
            </w:tcBorders>
            <w:noWrap/>
            <w:vAlign w:val="bottom"/>
          </w:tcPr>
          <w:p w:rsidR="00D923CE" w:rsidRPr="00A70BCF" w:rsidRDefault="0094461F" w:rsidP="002E272D">
            <w:pPr>
              <w:jc w:val="center"/>
              <w:rPr>
                <w:color w:val="000000"/>
              </w:rPr>
            </w:pPr>
            <w:r>
              <w:rPr>
                <w:color w:val="000000"/>
              </w:rPr>
              <w:t>Aprendizado</w:t>
            </w:r>
          </w:p>
        </w:tc>
      </w:tr>
    </w:tbl>
    <w:p w:rsidR="00D923CE" w:rsidRPr="00A70BCF" w:rsidRDefault="00D923CE" w:rsidP="00D923CE">
      <w:pPr>
        <w:pStyle w:val="Legenda"/>
        <w:jc w:val="center"/>
        <w:rPr>
          <w:b w:val="0"/>
          <w:color w:val="auto"/>
        </w:rPr>
      </w:pPr>
      <w:r w:rsidRPr="005C431E">
        <w:rPr>
          <w:b w:val="0"/>
          <w:color w:val="auto"/>
        </w:rPr>
        <w:t>Adaptado pelo autor: Fonte Newmark (2002)</w:t>
      </w:r>
    </w:p>
    <w:p w:rsidR="00D923CE" w:rsidRPr="00B83628" w:rsidRDefault="00D923CE" w:rsidP="00D923CE">
      <w:pPr>
        <w:spacing w:line="360" w:lineRule="auto"/>
        <w:ind w:firstLine="708"/>
        <w:jc w:val="both"/>
        <w:rPr>
          <w:sz w:val="28"/>
        </w:rPr>
      </w:pPr>
      <w:r w:rsidRPr="0055001D">
        <w:t xml:space="preserve">Sendo assim, a Difusão e a </w:t>
      </w:r>
      <w:r w:rsidR="0094461F">
        <w:t>Convergência</w:t>
      </w:r>
      <w:r w:rsidRPr="0055001D">
        <w:t xml:space="preserve"> são apontadas como os est</w:t>
      </w:r>
      <w:r>
        <w:t>ágios mais amplos do</w:t>
      </w:r>
      <w:r w:rsidRPr="0055001D">
        <w:t xml:space="preserve"> processo de </w:t>
      </w:r>
      <w:r w:rsidR="0094461F">
        <w:t>“espalhamento de políticas”</w:t>
      </w:r>
      <w:r w:rsidRPr="0055001D">
        <w:t xml:space="preserve">. </w:t>
      </w:r>
      <w:r w:rsidRPr="00B83628">
        <w:t>Nesse trajeto</w:t>
      </w:r>
      <w:r>
        <w:t>,</w:t>
      </w:r>
      <w:r w:rsidRPr="00B83628">
        <w:t xml:space="preserve"> o processo de </w:t>
      </w:r>
      <w:r w:rsidRPr="00B83628">
        <w:rPr>
          <w:i/>
        </w:rPr>
        <w:t>policy transfer</w:t>
      </w:r>
      <w:r w:rsidRPr="00B83628">
        <w:t xml:space="preserve"> e a </w:t>
      </w:r>
      <w:r w:rsidRPr="00B83628">
        <w:rPr>
          <w:i/>
        </w:rPr>
        <w:t>lesson drawing</w:t>
      </w:r>
      <w:r w:rsidR="009F153C">
        <w:rPr>
          <w:i/>
        </w:rPr>
        <w:t xml:space="preserve"> </w:t>
      </w:r>
      <w:r w:rsidRPr="0042581A">
        <w:t>confi</w:t>
      </w:r>
      <w:r w:rsidRPr="00654A13">
        <w:t>guram-se</w:t>
      </w:r>
      <w:r w:rsidRPr="00B83628">
        <w:t xml:space="preserve"> em etapas mais específicas em que o primeiro </w:t>
      </w:r>
      <w:r>
        <w:t xml:space="preserve">é </w:t>
      </w:r>
      <w:r w:rsidRPr="00B83628">
        <w:t>“</w:t>
      </w:r>
      <w:r>
        <w:t>r</w:t>
      </w:r>
      <w:r w:rsidRPr="00B83628">
        <w:t xml:space="preserve">epresentando apenas </w:t>
      </w:r>
      <w:r w:rsidR="0011690D">
        <w:t>n</w:t>
      </w:r>
      <w:r w:rsidRPr="00B83628">
        <w:t>os casos em que o conhecimento da política é usado consciente</w:t>
      </w:r>
      <w:r>
        <w:t xml:space="preserve">mente </w:t>
      </w:r>
      <w:r w:rsidRPr="00B83628">
        <w:t>no desenvolvimento de políticas em outros lugares</w:t>
      </w:r>
      <w:r>
        <w:t>”</w:t>
      </w:r>
      <w:r w:rsidRPr="00B83628">
        <w:rPr>
          <w:szCs w:val="22"/>
          <w:lang w:eastAsia="en-US"/>
        </w:rPr>
        <w:t xml:space="preserve"> (</w:t>
      </w:r>
      <w:r w:rsidRPr="00B83628">
        <w:t>NEWMARK, 2002</w:t>
      </w:r>
      <w:r>
        <w:t>. Tradução nossa</w:t>
      </w:r>
      <w:r w:rsidRPr="00B83628">
        <w:t xml:space="preserve">). </w:t>
      </w:r>
    </w:p>
    <w:p w:rsidR="00CA3A9E" w:rsidRDefault="00CA3A9E" w:rsidP="00CA3A9E">
      <w:pPr>
        <w:ind w:firstLine="708"/>
        <w:jc w:val="both"/>
      </w:pPr>
    </w:p>
    <w:p w:rsidR="00CA3A9E" w:rsidRPr="007B2C70" w:rsidRDefault="00CA3A9E" w:rsidP="00CA3A9E">
      <w:pPr>
        <w:spacing w:line="360" w:lineRule="auto"/>
        <w:jc w:val="both"/>
        <w:rPr>
          <w:b/>
        </w:rPr>
      </w:pPr>
      <w:r>
        <w:rPr>
          <w:b/>
        </w:rPr>
        <w:t>1.</w:t>
      </w:r>
      <w:r w:rsidR="005D21E7">
        <w:rPr>
          <w:b/>
        </w:rPr>
        <w:t>3</w:t>
      </w:r>
      <w:r w:rsidR="000E75A4">
        <w:rPr>
          <w:b/>
        </w:rPr>
        <w:t xml:space="preserve">. </w:t>
      </w:r>
      <w:r w:rsidRPr="007B2C70">
        <w:rPr>
          <w:b/>
        </w:rPr>
        <w:t>A multidimensionalidade da Transferência de Políticas</w:t>
      </w:r>
    </w:p>
    <w:p w:rsidR="002D07C8" w:rsidRPr="008B2792" w:rsidRDefault="002D07C8" w:rsidP="002D07C8">
      <w:pPr>
        <w:spacing w:line="360" w:lineRule="auto"/>
        <w:ind w:firstLine="708"/>
        <w:jc w:val="both"/>
        <w:rPr>
          <w:rFonts w:ascii="Palatino-Roman" w:hAnsi="Palatino-Roman" w:cs="Palatino-Roman"/>
          <w:sz w:val="20"/>
          <w:szCs w:val="20"/>
          <w:lang w:eastAsia="en-US"/>
        </w:rPr>
      </w:pPr>
      <w:r w:rsidRPr="003750D8">
        <w:t xml:space="preserve">Evans </w:t>
      </w:r>
      <w:r>
        <w:t>e</w:t>
      </w:r>
      <w:r w:rsidRPr="003750D8">
        <w:t xml:space="preserve"> Davies</w:t>
      </w:r>
      <w:r>
        <w:t xml:space="preserve"> (</w:t>
      </w:r>
      <w:r w:rsidRPr="003750D8">
        <w:t>1999</w:t>
      </w:r>
      <w:r>
        <w:t>) defendem que o</w:t>
      </w:r>
      <w:r w:rsidRPr="003750D8">
        <w:t xml:space="preserve"> conceito </w:t>
      </w:r>
      <w:r>
        <w:t xml:space="preserve">de Transferência de Políticas Públicas </w:t>
      </w:r>
      <w:r w:rsidRPr="003750D8">
        <w:t>promove uma “</w:t>
      </w:r>
      <w:r w:rsidRPr="003750D8">
        <w:rPr>
          <w:lang w:eastAsia="en-US"/>
        </w:rPr>
        <w:t>vinculação entre o micro nível de análise, que trata do papel dos interesses e níveis de governo em relação a decisões políticas específicas, e o macro nível de análise, que se ocupa de questões mais amplas sobre a distribuição de poder dentro da sociedade contemporânea” (</w:t>
      </w:r>
      <w:r>
        <w:t>EVANS E DAVIES, 1999</w:t>
      </w:r>
      <w:r w:rsidRPr="003750D8">
        <w:t>).</w:t>
      </w:r>
      <w:r w:rsidR="00C50F2E">
        <w:t xml:space="preserve"> </w:t>
      </w:r>
      <w:r w:rsidRPr="001A5077">
        <w:rPr>
          <w:lang w:eastAsia="en-US"/>
        </w:rPr>
        <w:t xml:space="preserve">Em adição, os autores reconhecem que a meso-análise tem sido </w:t>
      </w:r>
      <w:r>
        <w:rPr>
          <w:lang w:eastAsia="en-US"/>
        </w:rPr>
        <w:t xml:space="preserve">o “nível mais fértil para </w:t>
      </w:r>
      <w:r w:rsidR="0011690D">
        <w:rPr>
          <w:lang w:eastAsia="en-US"/>
        </w:rPr>
        <w:t>análise</w:t>
      </w:r>
      <w:r>
        <w:rPr>
          <w:lang w:eastAsia="en-US"/>
        </w:rPr>
        <w:t xml:space="preserve"> da elaboração de políticas</w:t>
      </w:r>
      <w:r w:rsidRPr="00362E1B">
        <w:rPr>
          <w:i/>
          <w:lang w:eastAsia="en-US"/>
        </w:rPr>
        <w:t>”</w:t>
      </w:r>
      <w:r>
        <w:rPr>
          <w:lang w:eastAsia="en-US"/>
        </w:rPr>
        <w:t>. Sendo assim, a adoção de maneira exclusiva</w:t>
      </w:r>
      <w:r w:rsidRPr="001A5077">
        <w:rPr>
          <w:lang w:eastAsia="en-US"/>
        </w:rPr>
        <w:t xml:space="preserve"> do macro – nível </w:t>
      </w:r>
      <w:r>
        <w:rPr>
          <w:lang w:eastAsia="en-US"/>
        </w:rPr>
        <w:t xml:space="preserve">tem sido responsável pelo desenvolvimento de </w:t>
      </w:r>
      <w:r w:rsidRPr="001A5077">
        <w:rPr>
          <w:lang w:eastAsia="en-US"/>
        </w:rPr>
        <w:t>abordage</w:t>
      </w:r>
      <w:r>
        <w:rPr>
          <w:lang w:eastAsia="en-US"/>
        </w:rPr>
        <w:t xml:space="preserve">ns </w:t>
      </w:r>
      <w:r w:rsidRPr="001A5077">
        <w:rPr>
          <w:lang w:eastAsia="en-US"/>
        </w:rPr>
        <w:t>abstrata</w:t>
      </w:r>
      <w:r>
        <w:rPr>
          <w:lang w:eastAsia="en-US"/>
        </w:rPr>
        <w:t>s</w:t>
      </w:r>
      <w:r w:rsidRPr="001A5077">
        <w:rPr>
          <w:lang w:eastAsia="en-US"/>
        </w:rPr>
        <w:t xml:space="preserve"> e </w:t>
      </w:r>
      <w:r>
        <w:rPr>
          <w:lang w:eastAsia="en-US"/>
        </w:rPr>
        <w:t xml:space="preserve">quando da </w:t>
      </w:r>
      <w:r w:rsidRPr="001A5077">
        <w:rPr>
          <w:lang w:eastAsia="en-US"/>
        </w:rPr>
        <w:t xml:space="preserve">sua aplicação aos casos concretos tem sido frequentemente </w:t>
      </w:r>
      <w:r>
        <w:rPr>
          <w:lang w:eastAsia="en-US"/>
        </w:rPr>
        <w:t xml:space="preserve">utilizada </w:t>
      </w:r>
      <w:r w:rsidRPr="001A5077">
        <w:rPr>
          <w:lang w:eastAsia="en-US"/>
        </w:rPr>
        <w:t xml:space="preserve">dando pouca atenção aos processos que mediam o fenômeno. Por seu turno, </w:t>
      </w:r>
      <w:r w:rsidRPr="000E66D3">
        <w:rPr>
          <w:lang w:eastAsia="en-US"/>
        </w:rPr>
        <w:t>o nível-micro tende a ignorar o impacto de fatores estruturais</w:t>
      </w:r>
      <w:r>
        <w:rPr>
          <w:lang w:eastAsia="en-US"/>
        </w:rPr>
        <w:t xml:space="preserve"> na “configuração das decisões no micro nível (</w:t>
      </w:r>
      <w:r w:rsidRPr="003750D8">
        <w:t>EVANS E DAVIES, 1999</w:t>
      </w:r>
      <w:r>
        <w:t>).</w:t>
      </w:r>
    </w:p>
    <w:p w:rsidR="002D07C8" w:rsidRPr="007C73EA" w:rsidRDefault="002D07C8" w:rsidP="002D07C8">
      <w:pPr>
        <w:autoSpaceDE w:val="0"/>
        <w:autoSpaceDN w:val="0"/>
        <w:adjustRightInd w:val="0"/>
        <w:spacing w:line="360" w:lineRule="auto"/>
        <w:ind w:firstLine="708"/>
        <w:jc w:val="both"/>
      </w:pPr>
      <w:r w:rsidRPr="003750D8">
        <w:rPr>
          <w:lang w:eastAsia="en-US"/>
        </w:rPr>
        <w:t>Desse modo</w:t>
      </w:r>
      <w:r w:rsidRPr="001A5077">
        <w:rPr>
          <w:lang w:eastAsia="en-US"/>
        </w:rPr>
        <w:t xml:space="preserve">, os autores defendem que o </w:t>
      </w:r>
      <w:r w:rsidRPr="00B81EDF">
        <w:rPr>
          <w:i/>
          <w:lang w:eastAsia="en-US"/>
        </w:rPr>
        <w:t>nível médio</w:t>
      </w:r>
      <w:r>
        <w:rPr>
          <w:lang w:eastAsia="en-US"/>
        </w:rPr>
        <w:t xml:space="preserve"> de análise </w:t>
      </w:r>
      <w:r w:rsidRPr="001A5077">
        <w:rPr>
          <w:lang w:eastAsia="en-US"/>
        </w:rPr>
        <w:t xml:space="preserve">atua como um </w:t>
      </w:r>
      <w:r w:rsidRPr="00B81EDF">
        <w:rPr>
          <w:i/>
          <w:lang w:eastAsia="en-US"/>
        </w:rPr>
        <w:t>dispositivo corretivo</w:t>
      </w:r>
      <w:r w:rsidR="00C50F2E">
        <w:rPr>
          <w:i/>
          <w:lang w:eastAsia="en-US"/>
        </w:rPr>
        <w:t xml:space="preserve"> </w:t>
      </w:r>
      <w:r w:rsidRPr="001A5077">
        <w:rPr>
          <w:lang w:eastAsia="en-US"/>
        </w:rPr>
        <w:t>no auxílio dos analistas de políticas públicas na consideração conjunta d</w:t>
      </w:r>
      <w:r>
        <w:rPr>
          <w:lang w:eastAsia="en-US"/>
        </w:rPr>
        <w:t>a</w:t>
      </w:r>
      <w:r w:rsidRPr="001A5077">
        <w:rPr>
          <w:lang w:eastAsia="en-US"/>
        </w:rPr>
        <w:t>s</w:t>
      </w:r>
      <w:r>
        <w:rPr>
          <w:lang w:eastAsia="en-US"/>
        </w:rPr>
        <w:t xml:space="preserve"> questões </w:t>
      </w:r>
      <w:r w:rsidRPr="001A5077">
        <w:rPr>
          <w:lang w:eastAsia="en-US"/>
        </w:rPr>
        <w:t>macro- o</w:t>
      </w:r>
      <w:r>
        <w:rPr>
          <w:lang w:eastAsia="en-US"/>
        </w:rPr>
        <w:t>u</w:t>
      </w:r>
      <w:r w:rsidRPr="001A5077">
        <w:rPr>
          <w:lang w:eastAsia="en-US"/>
        </w:rPr>
        <w:t xml:space="preserve"> micro- </w:t>
      </w:r>
      <w:r>
        <w:rPr>
          <w:lang w:eastAsia="en-US"/>
        </w:rPr>
        <w:t>já que “</w:t>
      </w:r>
      <w:r w:rsidRPr="004502AE">
        <w:rPr>
          <w:lang w:eastAsia="en-US"/>
        </w:rPr>
        <w:t xml:space="preserve">observa simultaneamente que muitas decisões políticas ocorrem </w:t>
      </w:r>
      <w:r>
        <w:rPr>
          <w:lang w:eastAsia="en-US"/>
        </w:rPr>
        <w:t xml:space="preserve">em uma rede interorganizacional de múltiplas camadas” </w:t>
      </w:r>
      <w:r w:rsidRPr="008B2792">
        <w:rPr>
          <w:lang w:eastAsia="en-US"/>
        </w:rPr>
        <w:lastRenderedPageBreak/>
        <w:t>(</w:t>
      </w:r>
      <w:r w:rsidRPr="008B2792">
        <w:t>EVANS E DAVIES, 1999).</w:t>
      </w:r>
      <w:r>
        <w:t xml:space="preserve"> Para </w:t>
      </w:r>
      <w:r w:rsidRPr="008B2792">
        <w:t xml:space="preserve">Evans e Davies (1999) a </w:t>
      </w:r>
      <w:r>
        <w:t xml:space="preserve">análise de </w:t>
      </w:r>
      <w:r w:rsidRPr="00F647F3">
        <w:rPr>
          <w:i/>
        </w:rPr>
        <w:t>nível médio</w:t>
      </w:r>
      <w:r w:rsidR="00C50F2E">
        <w:rPr>
          <w:i/>
        </w:rPr>
        <w:t xml:space="preserve"> </w:t>
      </w:r>
      <w:r w:rsidRPr="000E66D3">
        <w:rPr>
          <w:lang w:eastAsia="en-US"/>
        </w:rPr>
        <w:t>tornou-se a ferramenta analítica cr</w:t>
      </w:r>
      <w:r>
        <w:rPr>
          <w:lang w:eastAsia="en-US"/>
        </w:rPr>
        <w:t>ucial para a uma análise integrativa</w:t>
      </w:r>
      <w:r w:rsidRPr="000E66D3">
        <w:rPr>
          <w:lang w:eastAsia="en-US"/>
        </w:rPr>
        <w:t>.</w:t>
      </w:r>
      <w:r>
        <w:rPr>
          <w:lang w:eastAsia="en-US"/>
        </w:rPr>
        <w:t xml:space="preserve"> A esse respeito consideram que:</w:t>
      </w:r>
    </w:p>
    <w:p w:rsidR="002D07C8" w:rsidRPr="004502AE" w:rsidRDefault="002D07C8" w:rsidP="002D07C8">
      <w:pPr>
        <w:ind w:left="2268"/>
        <w:jc w:val="both"/>
        <w:rPr>
          <w:sz w:val="20"/>
          <w:szCs w:val="20"/>
          <w:lang w:eastAsia="en-US"/>
        </w:rPr>
      </w:pPr>
      <w:r w:rsidRPr="004502AE">
        <w:rPr>
          <w:sz w:val="20"/>
          <w:szCs w:val="20"/>
          <w:lang w:eastAsia="en-US"/>
        </w:rPr>
        <w:t xml:space="preserve">Precisamos avançar e desenvolver uma concepção de análise de transferência de políticas que reconheça a importância das </w:t>
      </w:r>
      <w:r w:rsidRPr="001A4225">
        <w:rPr>
          <w:i/>
          <w:sz w:val="20"/>
          <w:szCs w:val="20"/>
          <w:lang w:eastAsia="en-US"/>
        </w:rPr>
        <w:t>estruturas globais, internacionais, transnacionais e nacionais</w:t>
      </w:r>
      <w:r w:rsidRPr="004502AE">
        <w:rPr>
          <w:sz w:val="20"/>
          <w:szCs w:val="20"/>
          <w:lang w:eastAsia="en-US"/>
        </w:rPr>
        <w:t xml:space="preserve"> e a sua </w:t>
      </w:r>
      <w:r w:rsidRPr="005F370D">
        <w:rPr>
          <w:i/>
          <w:sz w:val="20"/>
          <w:szCs w:val="20"/>
          <w:lang w:eastAsia="en-US"/>
        </w:rPr>
        <w:t>capacidade de restringir e / ou facilitar o desenvolvimento de políticas</w:t>
      </w:r>
      <w:r w:rsidRPr="004502AE">
        <w:rPr>
          <w:sz w:val="20"/>
          <w:szCs w:val="20"/>
          <w:lang w:eastAsia="en-US"/>
        </w:rPr>
        <w:t xml:space="preserve"> e também entenda que a </w:t>
      </w:r>
      <w:r w:rsidRPr="005F370D">
        <w:rPr>
          <w:i/>
          <w:sz w:val="20"/>
          <w:szCs w:val="20"/>
          <w:lang w:eastAsia="en-US"/>
        </w:rPr>
        <w:t>transferência de políticas pode ser puramente um produto da política interorganizacional.</w:t>
      </w:r>
      <w:r w:rsidRPr="004502AE">
        <w:rPr>
          <w:sz w:val="20"/>
          <w:szCs w:val="20"/>
          <w:lang w:eastAsia="en-US"/>
        </w:rPr>
        <w:t xml:space="preserve"> Por implicação, a análise de transferência de políticas pode tornar-se heuristicamente útil em cada um desses níveis de análise se fornecer uma </w:t>
      </w:r>
      <w:r w:rsidRPr="005F370D">
        <w:rPr>
          <w:i/>
          <w:sz w:val="20"/>
          <w:szCs w:val="20"/>
          <w:lang w:eastAsia="en-US"/>
        </w:rPr>
        <w:t>abordagem que lida com a interação complexa entre estrutura e agência</w:t>
      </w:r>
      <w:r w:rsidRPr="004502AE">
        <w:rPr>
          <w:sz w:val="20"/>
          <w:szCs w:val="20"/>
          <w:lang w:eastAsia="en-US"/>
        </w:rPr>
        <w:t xml:space="preserve"> (EVANS E DAVIES, 1999. Tradução </w:t>
      </w:r>
      <w:r>
        <w:rPr>
          <w:sz w:val="20"/>
          <w:szCs w:val="20"/>
          <w:lang w:eastAsia="en-US"/>
        </w:rPr>
        <w:t xml:space="preserve">e grifo </w:t>
      </w:r>
      <w:r w:rsidRPr="004502AE">
        <w:rPr>
          <w:sz w:val="20"/>
          <w:szCs w:val="20"/>
          <w:lang w:eastAsia="en-US"/>
        </w:rPr>
        <w:t>noss</w:t>
      </w:r>
      <w:r>
        <w:rPr>
          <w:sz w:val="20"/>
          <w:szCs w:val="20"/>
          <w:lang w:eastAsia="en-US"/>
        </w:rPr>
        <w:t>o</w:t>
      </w:r>
      <w:r w:rsidRPr="004502AE">
        <w:rPr>
          <w:sz w:val="20"/>
          <w:szCs w:val="20"/>
          <w:lang w:eastAsia="en-US"/>
        </w:rPr>
        <w:t>).</w:t>
      </w:r>
    </w:p>
    <w:p w:rsidR="002D07C8" w:rsidRDefault="002D07C8" w:rsidP="002D07C8">
      <w:pPr>
        <w:ind w:left="2268"/>
        <w:jc w:val="both"/>
        <w:rPr>
          <w:sz w:val="20"/>
          <w:szCs w:val="20"/>
          <w:lang w:eastAsia="en-US"/>
        </w:rPr>
      </w:pPr>
    </w:p>
    <w:p w:rsidR="002D07C8" w:rsidRDefault="002D07C8" w:rsidP="002D07C8">
      <w:pPr>
        <w:spacing w:line="360" w:lineRule="auto"/>
        <w:ind w:firstLine="708"/>
        <w:jc w:val="both"/>
      </w:pPr>
      <w:r w:rsidRPr="003750D8">
        <w:t xml:space="preserve">Assim, </w:t>
      </w:r>
      <w:r>
        <w:t xml:space="preserve">o modelo de análise apontado </w:t>
      </w:r>
      <w:r w:rsidR="00D923CE">
        <w:t xml:space="preserve">abaixo ao considerar </w:t>
      </w:r>
      <w:r w:rsidR="00734049">
        <w:t>múltiplos</w:t>
      </w:r>
      <w:r>
        <w:t xml:space="preserve"> níveis para a análise da transferência de políticas públicas </w:t>
      </w:r>
      <w:r w:rsidRPr="003750D8">
        <w:t xml:space="preserve">trilha o caminho aberto por Belém Lopes, Santos e Faria (2012; 2016) </w:t>
      </w:r>
      <w:r>
        <w:t xml:space="preserve">no campo da Análise de Política Externa </w:t>
      </w:r>
      <w:r w:rsidRPr="003750D8">
        <w:t>e tem forte inspiração na proposta desses autores em relação a</w:t>
      </w:r>
      <w:r>
        <w:t xml:space="preserve"> um </w:t>
      </w:r>
      <w:r w:rsidRPr="003750D8">
        <w:t xml:space="preserve">modelo de </w:t>
      </w:r>
      <w:r w:rsidRPr="003750D8">
        <w:rPr>
          <w:i/>
        </w:rPr>
        <w:t>“Ciclo de Política Exterior”</w:t>
      </w:r>
      <w:r w:rsidRPr="003750D8">
        <w:t xml:space="preserve">.Dessa maneira, a busca de </w:t>
      </w:r>
      <w:r>
        <w:t xml:space="preserve">um </w:t>
      </w:r>
      <w:r w:rsidRPr="003750D8">
        <w:t>modelo integrativo de “Análise da Transferência</w:t>
      </w:r>
      <w:r>
        <w:t xml:space="preserve"> de Políticas Públicas” aponta para a similar necessidade do enfrentamento de “problemas disciplinares clássicos [das ciências sociais] relativamente à integração de </w:t>
      </w:r>
      <w:r w:rsidRPr="005D0216">
        <w:rPr>
          <w:i/>
        </w:rPr>
        <w:t>níveis de análise</w:t>
      </w:r>
      <w:r>
        <w:t xml:space="preserve">, ao debate </w:t>
      </w:r>
      <w:r w:rsidRPr="005D0216">
        <w:rPr>
          <w:i/>
        </w:rPr>
        <w:t>agência – estrutura</w:t>
      </w:r>
      <w:r>
        <w:t xml:space="preserve"> e à </w:t>
      </w:r>
      <w:r w:rsidRPr="005D0216">
        <w:rPr>
          <w:i/>
        </w:rPr>
        <w:t>sociologia das causalidades</w:t>
      </w:r>
      <w:r>
        <w:t xml:space="preserve">” (BELÉM LOPES, SANTOS E FARIA, </w:t>
      </w:r>
      <w:r w:rsidRPr="0062480C">
        <w:t>2012</w:t>
      </w:r>
      <w:r>
        <w:t>; 2016). Cabe apontar que, a proposta de Belém Lopes, Santos e Faria (</w:t>
      </w:r>
      <w:r w:rsidRPr="0062480C">
        <w:t>2012</w:t>
      </w:r>
      <w:r>
        <w:t xml:space="preserve">; 2016) se baseia nas reflexões de Mahoney e Snyder (1999) e foi de </w:t>
      </w:r>
      <w:r w:rsidRPr="003750D8">
        <w:t>fundamental importância para a orientação modelo</w:t>
      </w:r>
      <w:r>
        <w:t xml:space="preserve"> adotado na presente pesquisa. </w:t>
      </w:r>
      <w:r w:rsidRPr="003750D8">
        <w:t xml:space="preserve">Desse modo, </w:t>
      </w:r>
      <w:r>
        <w:t>o quadro – síntese 1 que segue apresenta o modelo de análise considerado no presente estudo.</w:t>
      </w:r>
    </w:p>
    <w:p w:rsidR="002D07C8" w:rsidRDefault="002D07C8" w:rsidP="002D07C8">
      <w:pPr>
        <w:spacing w:line="360" w:lineRule="auto"/>
        <w:ind w:firstLine="708"/>
        <w:jc w:val="both"/>
        <w:rPr>
          <w:rFonts w:ascii="AdvTR" w:hAnsi="AdvTR" w:cs="AdvTR"/>
          <w:sz w:val="20"/>
          <w:szCs w:val="20"/>
        </w:rPr>
        <w:sectPr w:rsidR="002D07C8" w:rsidSect="002E272D">
          <w:footerReference w:type="default" r:id="rId9"/>
          <w:pgSz w:w="11906" w:h="16838"/>
          <w:pgMar w:top="1417" w:right="1701" w:bottom="1417" w:left="1701" w:header="708" w:footer="708" w:gutter="0"/>
          <w:cols w:space="708"/>
          <w:docGrid w:linePitch="360"/>
        </w:sectPr>
      </w:pPr>
    </w:p>
    <w:p w:rsidR="002D07C8" w:rsidRPr="00187F2A" w:rsidRDefault="002D07C8" w:rsidP="002D07C8">
      <w:pPr>
        <w:pStyle w:val="Legenda"/>
        <w:keepNext/>
        <w:jc w:val="center"/>
        <w:rPr>
          <w:color w:val="auto"/>
          <w:sz w:val="24"/>
          <w:szCs w:val="24"/>
        </w:rPr>
      </w:pPr>
      <w:r w:rsidRPr="00187F2A">
        <w:rPr>
          <w:color w:val="auto"/>
          <w:sz w:val="24"/>
          <w:szCs w:val="24"/>
        </w:rPr>
        <w:lastRenderedPageBreak/>
        <w:t xml:space="preserve">Quadro </w:t>
      </w:r>
      <w:r>
        <w:rPr>
          <w:color w:val="auto"/>
          <w:sz w:val="24"/>
          <w:szCs w:val="24"/>
        </w:rPr>
        <w:t>1</w:t>
      </w:r>
      <w:r w:rsidR="009A15FF">
        <w:rPr>
          <w:color w:val="auto"/>
          <w:sz w:val="24"/>
          <w:szCs w:val="24"/>
        </w:rPr>
        <w:t>:</w:t>
      </w:r>
      <w:r w:rsidRPr="00187F2A">
        <w:rPr>
          <w:color w:val="auto"/>
          <w:sz w:val="24"/>
          <w:szCs w:val="24"/>
        </w:rPr>
        <w:t xml:space="preserve"> Modelo Integrativo de Análise de Transferência de Políticas Públicas</w:t>
      </w:r>
    </w:p>
    <w:tbl>
      <w:tblPr>
        <w:tblW w:w="5000" w:type="pct"/>
        <w:tblLayout w:type="fixed"/>
        <w:tblCellMar>
          <w:left w:w="70" w:type="dxa"/>
          <w:right w:w="70" w:type="dxa"/>
        </w:tblCellMar>
        <w:tblLook w:val="00A0"/>
      </w:tblPr>
      <w:tblGrid>
        <w:gridCol w:w="162"/>
        <w:gridCol w:w="2615"/>
        <w:gridCol w:w="849"/>
        <w:gridCol w:w="1267"/>
        <w:gridCol w:w="2266"/>
        <w:gridCol w:w="2269"/>
        <w:gridCol w:w="4716"/>
      </w:tblGrid>
      <w:tr w:rsidR="002D07C8" w:rsidRPr="006C67D3" w:rsidTr="002E272D">
        <w:trPr>
          <w:trHeight w:val="300"/>
        </w:trPr>
        <w:tc>
          <w:tcPr>
            <w:tcW w:w="57" w:type="pct"/>
            <w:vMerge w:val="restart"/>
            <w:tcBorders>
              <w:bottom w:val="single" w:sz="4" w:space="0" w:color="auto"/>
              <w:right w:val="nil"/>
            </w:tcBorders>
            <w:noWrap/>
            <w:vAlign w:val="bottom"/>
          </w:tcPr>
          <w:p w:rsidR="002D07C8" w:rsidRPr="006C67D3" w:rsidRDefault="002D07C8" w:rsidP="002E272D">
            <w:pPr>
              <w:jc w:val="center"/>
              <w:rPr>
                <w:color w:val="000000"/>
                <w:sz w:val="20"/>
                <w:szCs w:val="20"/>
              </w:rPr>
            </w:pPr>
          </w:p>
        </w:tc>
        <w:tc>
          <w:tcPr>
            <w:tcW w:w="924" w:type="pct"/>
            <w:tcBorders>
              <w:top w:val="single" w:sz="4" w:space="0" w:color="auto"/>
              <w:left w:val="single" w:sz="4" w:space="0" w:color="auto"/>
              <w:bottom w:val="single" w:sz="4" w:space="0" w:color="auto"/>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Nível de Análise</w:t>
            </w:r>
          </w:p>
        </w:tc>
        <w:tc>
          <w:tcPr>
            <w:tcW w:w="1549" w:type="pct"/>
            <w:gridSpan w:val="3"/>
            <w:tcBorders>
              <w:top w:val="single" w:sz="4" w:space="0" w:color="auto"/>
              <w:left w:val="nil"/>
              <w:bottom w:val="single" w:sz="4" w:space="0" w:color="auto"/>
              <w:right w:val="single" w:sz="4" w:space="0" w:color="000000"/>
            </w:tcBorders>
            <w:noWrap/>
            <w:vAlign w:val="center"/>
          </w:tcPr>
          <w:p w:rsidR="002D07C8" w:rsidRPr="006C67D3" w:rsidRDefault="002D07C8" w:rsidP="002E272D">
            <w:pPr>
              <w:jc w:val="center"/>
              <w:rPr>
                <w:color w:val="000000"/>
                <w:sz w:val="20"/>
                <w:szCs w:val="20"/>
              </w:rPr>
            </w:pPr>
            <w:r w:rsidRPr="006C67D3">
              <w:rPr>
                <w:color w:val="000000"/>
                <w:sz w:val="20"/>
                <w:szCs w:val="20"/>
              </w:rPr>
              <w:t>Abordagem Analítica</w:t>
            </w:r>
          </w:p>
        </w:tc>
        <w:tc>
          <w:tcPr>
            <w:tcW w:w="802" w:type="pct"/>
            <w:tcBorders>
              <w:top w:val="single" w:sz="4" w:space="0" w:color="auto"/>
              <w:left w:val="nil"/>
              <w:bottom w:val="single" w:sz="4" w:space="0" w:color="auto"/>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Fatores</w:t>
            </w:r>
          </w:p>
        </w:tc>
        <w:tc>
          <w:tcPr>
            <w:tcW w:w="1667" w:type="pct"/>
            <w:tcBorders>
              <w:top w:val="single" w:sz="4" w:space="0" w:color="auto"/>
              <w:left w:val="nil"/>
              <w:bottom w:val="single" w:sz="4" w:space="0" w:color="auto"/>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 xml:space="preserve">Variáveis </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noWrap/>
            <w:vAlign w:val="center"/>
          </w:tcPr>
          <w:p w:rsidR="002D07C8" w:rsidRPr="007C555D" w:rsidRDefault="002D07C8" w:rsidP="002E272D">
            <w:pPr>
              <w:jc w:val="center"/>
              <w:rPr>
                <w:color w:val="000000"/>
                <w:sz w:val="20"/>
                <w:szCs w:val="20"/>
                <w:lang w:val="en-US"/>
              </w:rPr>
            </w:pPr>
          </w:p>
        </w:tc>
        <w:tc>
          <w:tcPr>
            <w:tcW w:w="924" w:type="pct"/>
            <w:vMerge w:val="restart"/>
            <w:tcBorders>
              <w:top w:val="single" w:sz="4" w:space="0" w:color="auto"/>
              <w:left w:val="single" w:sz="4" w:space="0" w:color="auto"/>
              <w:right w:val="nil"/>
            </w:tcBorders>
            <w:noWrap/>
            <w:vAlign w:val="center"/>
          </w:tcPr>
          <w:p w:rsidR="002D07C8" w:rsidRPr="006C67D3" w:rsidRDefault="002D07C8" w:rsidP="002E272D">
            <w:pPr>
              <w:jc w:val="center"/>
              <w:rPr>
                <w:color w:val="000000"/>
                <w:sz w:val="20"/>
                <w:szCs w:val="20"/>
              </w:rPr>
            </w:pPr>
            <w:r w:rsidRPr="006C67D3">
              <w:rPr>
                <w:color w:val="000000"/>
                <w:sz w:val="20"/>
                <w:szCs w:val="20"/>
              </w:rPr>
              <w:t xml:space="preserve">Macro - Nível </w:t>
            </w:r>
          </w:p>
        </w:tc>
        <w:tc>
          <w:tcPr>
            <w:tcW w:w="300" w:type="pct"/>
            <w:vMerge w:val="restart"/>
            <w:tcBorders>
              <w:top w:val="nil"/>
              <w:left w:val="single" w:sz="4" w:space="0" w:color="auto"/>
              <w:bottom w:val="single" w:sz="4" w:space="0" w:color="000000"/>
              <w:right w:val="single" w:sz="4" w:space="0" w:color="auto"/>
            </w:tcBorders>
            <w:noWrap/>
            <w:textDirection w:val="btLr"/>
            <w:vAlign w:val="center"/>
          </w:tcPr>
          <w:p w:rsidR="002D07C8" w:rsidRPr="006C67D3" w:rsidRDefault="002D07C8" w:rsidP="002E272D">
            <w:pPr>
              <w:jc w:val="center"/>
              <w:rPr>
                <w:color w:val="000000"/>
                <w:sz w:val="20"/>
                <w:szCs w:val="20"/>
              </w:rPr>
            </w:pPr>
            <w:r w:rsidRPr="006C67D3">
              <w:rPr>
                <w:color w:val="000000"/>
                <w:sz w:val="20"/>
                <w:szCs w:val="20"/>
              </w:rPr>
              <w:t>Abordagem Integrativa</w:t>
            </w:r>
          </w:p>
        </w:tc>
        <w:tc>
          <w:tcPr>
            <w:tcW w:w="448" w:type="pct"/>
            <w:vMerge w:val="restart"/>
            <w:tcBorders>
              <w:top w:val="nil"/>
              <w:left w:val="single" w:sz="4" w:space="0" w:color="auto"/>
              <w:bottom w:val="single" w:sz="4" w:space="0" w:color="000000"/>
              <w:right w:val="single" w:sz="4" w:space="0" w:color="auto"/>
            </w:tcBorders>
            <w:vAlign w:val="center"/>
          </w:tcPr>
          <w:p w:rsidR="002D07C8" w:rsidRPr="006C67D3" w:rsidRDefault="002D07C8" w:rsidP="002E272D">
            <w:pPr>
              <w:jc w:val="center"/>
              <w:rPr>
                <w:color w:val="000000"/>
                <w:sz w:val="20"/>
                <w:szCs w:val="20"/>
              </w:rPr>
            </w:pPr>
            <w:r w:rsidRPr="006C67D3">
              <w:rPr>
                <w:color w:val="000000"/>
                <w:sz w:val="20"/>
                <w:szCs w:val="20"/>
              </w:rPr>
              <w:t xml:space="preserve">Abordagem Estruturalista                                                                                                                                    </w:t>
            </w:r>
          </w:p>
        </w:tc>
        <w:tc>
          <w:tcPr>
            <w:tcW w:w="801" w:type="pct"/>
            <w:vMerge w:val="restart"/>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jc w:val="center"/>
              <w:rPr>
                <w:color w:val="000000"/>
                <w:sz w:val="20"/>
                <w:szCs w:val="20"/>
              </w:rPr>
            </w:pPr>
            <w:r w:rsidRPr="006C67D3">
              <w:rPr>
                <w:color w:val="000000"/>
                <w:sz w:val="20"/>
                <w:szCs w:val="20"/>
              </w:rPr>
              <w:t>Global                                               Internacional                                 Transnacional</w:t>
            </w:r>
          </w:p>
        </w:tc>
        <w:tc>
          <w:tcPr>
            <w:tcW w:w="802" w:type="pct"/>
            <w:vMerge w:val="restart"/>
            <w:tcBorders>
              <w:top w:val="single" w:sz="4" w:space="0" w:color="auto"/>
              <w:left w:val="single" w:sz="4" w:space="0" w:color="auto"/>
              <w:bottom w:val="single" w:sz="4" w:space="0" w:color="000000"/>
              <w:right w:val="single" w:sz="4" w:space="0" w:color="auto"/>
            </w:tcBorders>
            <w:vAlign w:val="center"/>
          </w:tcPr>
          <w:p w:rsidR="002D07C8" w:rsidRPr="006C67D3" w:rsidRDefault="009A15FF" w:rsidP="002E272D">
            <w:pPr>
              <w:jc w:val="center"/>
              <w:rPr>
                <w:color w:val="000000"/>
                <w:sz w:val="20"/>
                <w:szCs w:val="20"/>
              </w:rPr>
            </w:pPr>
            <w:r w:rsidRPr="006C67D3">
              <w:rPr>
                <w:color w:val="000000"/>
                <w:sz w:val="20"/>
                <w:szCs w:val="20"/>
              </w:rPr>
              <w:t>Exógeno</w:t>
            </w:r>
          </w:p>
        </w:tc>
        <w:tc>
          <w:tcPr>
            <w:tcW w:w="1667" w:type="pct"/>
            <w:tcBorders>
              <w:top w:val="single" w:sz="4" w:space="0" w:color="auto"/>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Econômica</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Tecnológica</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Ideológica</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single" w:sz="4" w:space="0" w:color="auto"/>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single" w:sz="4" w:space="0" w:color="auto"/>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Institucional</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val="restart"/>
            <w:tcBorders>
              <w:top w:val="nil"/>
              <w:left w:val="single" w:sz="4" w:space="0" w:color="auto"/>
              <w:bottom w:val="single" w:sz="4" w:space="0" w:color="000000"/>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Estrutura Doméstica</w:t>
            </w:r>
          </w:p>
        </w:tc>
        <w:tc>
          <w:tcPr>
            <w:tcW w:w="802" w:type="pct"/>
            <w:vMerge w:val="restart"/>
            <w:tcBorders>
              <w:top w:val="nil"/>
              <w:left w:val="single" w:sz="4" w:space="0" w:color="auto"/>
              <w:bottom w:val="single" w:sz="4" w:space="0" w:color="000000"/>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Endógeno</w:t>
            </w:r>
          </w:p>
        </w:tc>
        <w:tc>
          <w:tcPr>
            <w:tcW w:w="1667" w:type="pct"/>
            <w:tcBorders>
              <w:top w:val="nil"/>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Econômica</w:t>
            </w:r>
          </w:p>
        </w:tc>
      </w:tr>
      <w:tr w:rsidR="002D07C8" w:rsidRPr="006C67D3" w:rsidTr="002E272D">
        <w:trPr>
          <w:trHeight w:val="300"/>
        </w:trPr>
        <w:tc>
          <w:tcPr>
            <w:tcW w:w="57" w:type="pct"/>
            <w:vMerge/>
            <w:tcBorders>
              <w:top w:val="single" w:sz="4" w:space="0" w:color="auto"/>
              <w:bottom w:val="single" w:sz="4" w:space="0" w:color="auto"/>
              <w:right w:val="single" w:sz="4" w:space="0" w:color="auto"/>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bottom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Tecnológica</w:t>
            </w:r>
          </w:p>
        </w:tc>
      </w:tr>
      <w:tr w:rsidR="002D07C8" w:rsidRPr="006C67D3" w:rsidTr="002E272D">
        <w:trPr>
          <w:trHeight w:val="300"/>
        </w:trPr>
        <w:tc>
          <w:tcPr>
            <w:tcW w:w="57" w:type="pct"/>
            <w:vMerge w:val="restart"/>
            <w:tcBorders>
              <w:top w:val="single" w:sz="4" w:space="0" w:color="auto"/>
              <w:right w:val="nil"/>
            </w:tcBorders>
            <w:vAlign w:val="center"/>
          </w:tcPr>
          <w:p w:rsidR="002D07C8" w:rsidRPr="006C67D3" w:rsidRDefault="002D07C8" w:rsidP="002E272D">
            <w:pPr>
              <w:jc w:val="center"/>
              <w:rPr>
                <w:color w:val="000000"/>
                <w:sz w:val="20"/>
                <w:szCs w:val="20"/>
              </w:rPr>
            </w:pPr>
          </w:p>
        </w:tc>
        <w:tc>
          <w:tcPr>
            <w:tcW w:w="924" w:type="pct"/>
            <w:vMerge w:val="restart"/>
            <w:tcBorders>
              <w:top w:val="single" w:sz="4" w:space="0" w:color="auto"/>
              <w:left w:val="single" w:sz="4" w:space="0" w:color="auto"/>
              <w:right w:val="nil"/>
            </w:tcBorders>
            <w:vAlign w:val="center"/>
          </w:tcPr>
          <w:p w:rsidR="002D07C8" w:rsidRDefault="002D07C8" w:rsidP="002E272D">
            <w:pPr>
              <w:jc w:val="center"/>
              <w:rPr>
                <w:color w:val="000000"/>
                <w:sz w:val="20"/>
                <w:szCs w:val="20"/>
              </w:rPr>
            </w:pPr>
            <w:r>
              <w:rPr>
                <w:color w:val="000000"/>
                <w:sz w:val="20"/>
                <w:szCs w:val="20"/>
              </w:rPr>
              <w:t>Nível Médio</w:t>
            </w:r>
          </w:p>
          <w:p w:rsidR="002D07C8" w:rsidRPr="006C67D3" w:rsidRDefault="002D07C8" w:rsidP="002E272D">
            <w:pPr>
              <w:jc w:val="center"/>
              <w:rPr>
                <w:color w:val="000000"/>
                <w:sz w:val="20"/>
                <w:szCs w:val="20"/>
              </w:rPr>
            </w:pPr>
            <w:r>
              <w:rPr>
                <w:color w:val="000000"/>
                <w:sz w:val="20"/>
                <w:szCs w:val="20"/>
              </w:rPr>
              <w:t>(Transferência de Políticas Públicas)</w:t>
            </w: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nil"/>
              <w:right w:val="single" w:sz="4" w:space="0" w:color="auto"/>
            </w:tcBorders>
            <w:noWrap/>
            <w:vAlign w:val="center"/>
          </w:tcPr>
          <w:p w:rsidR="002D07C8" w:rsidRPr="006C67D3" w:rsidRDefault="009A15FF" w:rsidP="002E272D">
            <w:pPr>
              <w:jc w:val="center"/>
              <w:rPr>
                <w:color w:val="000000"/>
                <w:sz w:val="20"/>
                <w:szCs w:val="20"/>
              </w:rPr>
            </w:pPr>
            <w:r w:rsidRPr="006C67D3">
              <w:rPr>
                <w:color w:val="000000"/>
                <w:sz w:val="20"/>
                <w:szCs w:val="20"/>
              </w:rPr>
              <w:t>Ideológica</w:t>
            </w:r>
          </w:p>
        </w:tc>
      </w:tr>
      <w:tr w:rsidR="002D07C8" w:rsidRPr="006C67D3" w:rsidTr="002E272D">
        <w:trPr>
          <w:trHeight w:val="300"/>
        </w:trPr>
        <w:tc>
          <w:tcPr>
            <w:tcW w:w="57" w:type="pct"/>
            <w:vMerge/>
            <w:tcBorders>
              <w:top w:val="single" w:sz="4" w:space="0" w:color="auto"/>
              <w:right w:val="nil"/>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1"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tcBorders>
              <w:top w:val="nil"/>
              <w:left w:val="nil"/>
              <w:bottom w:val="single" w:sz="4" w:space="0" w:color="auto"/>
              <w:right w:val="single" w:sz="4" w:space="0" w:color="auto"/>
            </w:tcBorders>
            <w:noWrap/>
            <w:vAlign w:val="center"/>
          </w:tcPr>
          <w:p w:rsidR="002D07C8" w:rsidRPr="006C67D3" w:rsidRDefault="002D07C8" w:rsidP="002E272D">
            <w:pPr>
              <w:jc w:val="center"/>
              <w:rPr>
                <w:color w:val="000000"/>
                <w:sz w:val="20"/>
                <w:szCs w:val="20"/>
              </w:rPr>
            </w:pPr>
            <w:r w:rsidRPr="006C67D3">
              <w:rPr>
                <w:color w:val="000000"/>
                <w:sz w:val="20"/>
                <w:szCs w:val="20"/>
              </w:rPr>
              <w:t>Institucional</w:t>
            </w:r>
          </w:p>
        </w:tc>
      </w:tr>
      <w:tr w:rsidR="002D07C8" w:rsidRPr="006C67D3" w:rsidTr="002E272D">
        <w:trPr>
          <w:trHeight w:val="920"/>
        </w:trPr>
        <w:tc>
          <w:tcPr>
            <w:tcW w:w="57" w:type="pct"/>
            <w:vMerge/>
            <w:tcBorders>
              <w:top w:val="single" w:sz="4" w:space="0" w:color="auto"/>
              <w:bottom w:val="nil"/>
              <w:right w:val="nil"/>
            </w:tcBorders>
            <w:vAlign w:val="center"/>
          </w:tcPr>
          <w:p w:rsidR="002D07C8" w:rsidRPr="006C67D3" w:rsidRDefault="002D07C8" w:rsidP="002E272D">
            <w:pPr>
              <w:rPr>
                <w:color w:val="000000"/>
                <w:sz w:val="20"/>
                <w:szCs w:val="20"/>
              </w:rPr>
            </w:pPr>
          </w:p>
        </w:tc>
        <w:tc>
          <w:tcPr>
            <w:tcW w:w="924" w:type="pct"/>
            <w:vMerge/>
            <w:tcBorders>
              <w:top w:val="single" w:sz="4" w:space="0" w:color="auto"/>
              <w:left w:val="single" w:sz="4" w:space="0" w:color="auto"/>
              <w:bottom w:val="nil"/>
              <w:right w:val="nil"/>
            </w:tcBorders>
            <w:vAlign w:val="center"/>
          </w:tcPr>
          <w:p w:rsidR="002D07C8" w:rsidRPr="006C67D3" w:rsidRDefault="002D07C8" w:rsidP="002E272D">
            <w:pPr>
              <w:rPr>
                <w:color w:val="000000"/>
                <w:sz w:val="20"/>
                <w:szCs w:val="20"/>
              </w:rPr>
            </w:pP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val="restart"/>
            <w:tcBorders>
              <w:top w:val="nil"/>
              <w:left w:val="single" w:sz="4" w:space="0" w:color="auto"/>
              <w:bottom w:val="single" w:sz="4" w:space="0" w:color="000000"/>
              <w:right w:val="nil"/>
            </w:tcBorders>
            <w:vAlign w:val="center"/>
          </w:tcPr>
          <w:p w:rsidR="002D07C8" w:rsidRPr="006C67D3" w:rsidRDefault="002D07C8" w:rsidP="002E272D">
            <w:pPr>
              <w:jc w:val="center"/>
              <w:rPr>
                <w:color w:val="000000"/>
                <w:sz w:val="20"/>
                <w:szCs w:val="20"/>
              </w:rPr>
            </w:pPr>
            <w:r w:rsidRPr="006C67D3">
              <w:rPr>
                <w:color w:val="000000"/>
                <w:sz w:val="20"/>
                <w:szCs w:val="20"/>
              </w:rPr>
              <w:t xml:space="preserve">Abordagem Voluntarista                                                                                                                                    </w:t>
            </w:r>
          </w:p>
        </w:tc>
        <w:tc>
          <w:tcPr>
            <w:tcW w:w="801" w:type="pct"/>
            <w:vMerge w:val="restart"/>
            <w:tcBorders>
              <w:top w:val="nil"/>
              <w:left w:val="single" w:sz="4" w:space="0" w:color="auto"/>
              <w:bottom w:val="single" w:sz="4" w:space="0" w:color="000000"/>
              <w:right w:val="single" w:sz="4" w:space="0" w:color="auto"/>
            </w:tcBorders>
            <w:noWrap/>
            <w:vAlign w:val="center"/>
          </w:tcPr>
          <w:p w:rsidR="002D07C8" w:rsidRDefault="002D07C8" w:rsidP="002E272D">
            <w:pPr>
              <w:jc w:val="center"/>
              <w:rPr>
                <w:color w:val="000000"/>
                <w:sz w:val="20"/>
                <w:szCs w:val="20"/>
              </w:rPr>
            </w:pPr>
            <w:r w:rsidRPr="006C67D3">
              <w:rPr>
                <w:color w:val="000000"/>
                <w:sz w:val="20"/>
                <w:szCs w:val="20"/>
              </w:rPr>
              <w:t xml:space="preserve">Nível </w:t>
            </w:r>
          </w:p>
          <w:p w:rsidR="002D07C8" w:rsidRPr="006C67D3" w:rsidRDefault="002D07C8" w:rsidP="002E272D">
            <w:pPr>
              <w:jc w:val="center"/>
              <w:rPr>
                <w:color w:val="000000"/>
                <w:sz w:val="20"/>
                <w:szCs w:val="20"/>
              </w:rPr>
            </w:pPr>
            <w:r w:rsidRPr="006C67D3">
              <w:rPr>
                <w:color w:val="000000"/>
                <w:sz w:val="20"/>
                <w:szCs w:val="20"/>
              </w:rPr>
              <w:t>Interorganizacional</w:t>
            </w:r>
          </w:p>
        </w:tc>
        <w:tc>
          <w:tcPr>
            <w:tcW w:w="802" w:type="pct"/>
            <w:vMerge w:val="restart"/>
            <w:tcBorders>
              <w:top w:val="nil"/>
              <w:left w:val="single" w:sz="4" w:space="0" w:color="auto"/>
              <w:bottom w:val="single" w:sz="4" w:space="0" w:color="000000"/>
              <w:right w:val="single" w:sz="4" w:space="0" w:color="auto"/>
            </w:tcBorders>
            <w:vAlign w:val="center"/>
          </w:tcPr>
          <w:p w:rsidR="002D07C8" w:rsidRPr="006C67D3" w:rsidRDefault="002D07C8" w:rsidP="002E272D">
            <w:pPr>
              <w:jc w:val="center"/>
              <w:rPr>
                <w:color w:val="000000"/>
                <w:sz w:val="20"/>
                <w:szCs w:val="20"/>
              </w:rPr>
            </w:pPr>
            <w:r>
              <w:rPr>
                <w:color w:val="000000"/>
                <w:sz w:val="20"/>
                <w:szCs w:val="20"/>
              </w:rPr>
              <w:t xml:space="preserve">Etapas de Transferência Voluntária de Políticas </w:t>
            </w:r>
            <w:r w:rsidRPr="006C67D3">
              <w:rPr>
                <w:color w:val="000000"/>
                <w:sz w:val="20"/>
                <w:szCs w:val="20"/>
              </w:rPr>
              <w:t>Públicas</w:t>
            </w:r>
          </w:p>
        </w:tc>
        <w:tc>
          <w:tcPr>
            <w:tcW w:w="1667" w:type="pct"/>
            <w:vMerge w:val="restart"/>
            <w:tcBorders>
              <w:top w:val="nil"/>
              <w:left w:val="nil"/>
              <w:bottom w:val="nil"/>
              <w:right w:val="single" w:sz="4" w:space="0" w:color="auto"/>
            </w:tcBorders>
            <w:noWrap/>
            <w:vAlign w:val="bottom"/>
          </w:tcPr>
          <w:p w:rsidR="002D07C8" w:rsidRPr="00D17664" w:rsidRDefault="002D07C8" w:rsidP="002E272D">
            <w:pPr>
              <w:jc w:val="center"/>
              <w:rPr>
                <w:color w:val="000000"/>
                <w:sz w:val="20"/>
                <w:szCs w:val="20"/>
              </w:rPr>
            </w:pPr>
            <w:r>
              <w:rPr>
                <w:color w:val="000000"/>
                <w:sz w:val="20"/>
                <w:szCs w:val="20"/>
              </w:rPr>
              <w:t>(</w:t>
            </w:r>
            <w:r w:rsidR="00C8429C" w:rsidRPr="00D17664">
              <w:rPr>
                <w:color w:val="000000"/>
                <w:sz w:val="20"/>
                <w:szCs w:val="20"/>
              </w:rPr>
              <w:t>1) Pesquisa</w:t>
            </w:r>
          </w:p>
          <w:p w:rsidR="002D07C8" w:rsidRPr="00D17664" w:rsidRDefault="002D07C8" w:rsidP="002E272D">
            <w:pPr>
              <w:jc w:val="center"/>
              <w:rPr>
                <w:color w:val="000000"/>
                <w:sz w:val="20"/>
                <w:szCs w:val="20"/>
              </w:rPr>
            </w:pPr>
            <w:r w:rsidRPr="00D17664">
              <w:rPr>
                <w:color w:val="000000"/>
                <w:sz w:val="20"/>
                <w:szCs w:val="20"/>
              </w:rPr>
              <w:t>(2) Contato</w:t>
            </w:r>
          </w:p>
          <w:p w:rsidR="002D07C8" w:rsidRPr="00D17664" w:rsidRDefault="002D07C8" w:rsidP="002E272D">
            <w:pPr>
              <w:jc w:val="center"/>
              <w:rPr>
                <w:color w:val="000000"/>
                <w:sz w:val="20"/>
                <w:szCs w:val="20"/>
              </w:rPr>
            </w:pPr>
            <w:r w:rsidRPr="00D17664">
              <w:rPr>
                <w:color w:val="000000"/>
                <w:sz w:val="20"/>
                <w:szCs w:val="20"/>
              </w:rPr>
              <w:t>(3) Emergência de uma rede de alimentação de informações</w:t>
            </w:r>
          </w:p>
          <w:p w:rsidR="002D07C8" w:rsidRPr="00D17664" w:rsidRDefault="002D07C8" w:rsidP="002E272D">
            <w:pPr>
              <w:jc w:val="center"/>
              <w:rPr>
                <w:color w:val="000000"/>
                <w:sz w:val="20"/>
                <w:szCs w:val="20"/>
              </w:rPr>
            </w:pPr>
            <w:r w:rsidRPr="00D17664">
              <w:rPr>
                <w:color w:val="000000"/>
                <w:sz w:val="20"/>
                <w:szCs w:val="20"/>
              </w:rPr>
              <w:t>(4) Cognição e Recepção</w:t>
            </w:r>
          </w:p>
          <w:p w:rsidR="002D07C8" w:rsidRPr="00D17664" w:rsidRDefault="002D07C8" w:rsidP="002E272D">
            <w:pPr>
              <w:jc w:val="center"/>
              <w:rPr>
                <w:color w:val="000000"/>
                <w:sz w:val="20"/>
                <w:szCs w:val="20"/>
              </w:rPr>
            </w:pPr>
            <w:r w:rsidRPr="00D17664">
              <w:rPr>
                <w:color w:val="000000"/>
                <w:sz w:val="20"/>
                <w:szCs w:val="20"/>
              </w:rPr>
              <w:t xml:space="preserve">(5) Emergência da </w:t>
            </w:r>
            <w:r w:rsidRPr="00D17664">
              <w:rPr>
                <w:i/>
                <w:color w:val="000000"/>
                <w:sz w:val="20"/>
                <w:szCs w:val="20"/>
              </w:rPr>
              <w:t>Transfer Network</w:t>
            </w:r>
          </w:p>
          <w:p w:rsidR="002D07C8" w:rsidRPr="00D17664" w:rsidRDefault="002D07C8" w:rsidP="002E272D">
            <w:pPr>
              <w:jc w:val="center"/>
              <w:rPr>
                <w:color w:val="000000"/>
                <w:sz w:val="20"/>
                <w:szCs w:val="20"/>
              </w:rPr>
            </w:pPr>
            <w:r w:rsidRPr="00D17664">
              <w:rPr>
                <w:color w:val="000000"/>
                <w:sz w:val="20"/>
                <w:szCs w:val="20"/>
              </w:rPr>
              <w:t>(6) Mobilização cognitiva e de elites</w:t>
            </w:r>
          </w:p>
          <w:p w:rsidR="002D07C8" w:rsidRPr="00D17664" w:rsidRDefault="002D07C8" w:rsidP="002E272D">
            <w:pPr>
              <w:jc w:val="center"/>
              <w:rPr>
                <w:color w:val="000000"/>
                <w:sz w:val="20"/>
                <w:szCs w:val="20"/>
              </w:rPr>
            </w:pPr>
            <w:r w:rsidRPr="00D17664">
              <w:rPr>
                <w:color w:val="000000"/>
                <w:sz w:val="20"/>
                <w:szCs w:val="20"/>
              </w:rPr>
              <w:t>(7) Interação</w:t>
            </w:r>
          </w:p>
          <w:p w:rsidR="002D07C8" w:rsidRPr="00D17664" w:rsidRDefault="002D07C8" w:rsidP="002E272D">
            <w:pPr>
              <w:jc w:val="center"/>
              <w:rPr>
                <w:color w:val="000000"/>
                <w:sz w:val="20"/>
                <w:szCs w:val="20"/>
              </w:rPr>
            </w:pPr>
            <w:r w:rsidRPr="00D17664">
              <w:rPr>
                <w:color w:val="000000"/>
                <w:sz w:val="20"/>
                <w:szCs w:val="20"/>
              </w:rPr>
              <w:t>(8) Avaliação</w:t>
            </w:r>
          </w:p>
          <w:p w:rsidR="002D07C8" w:rsidRPr="00D17664" w:rsidRDefault="002D07C8" w:rsidP="002E272D">
            <w:pPr>
              <w:jc w:val="center"/>
              <w:rPr>
                <w:i/>
                <w:color w:val="000000"/>
                <w:sz w:val="20"/>
                <w:szCs w:val="20"/>
              </w:rPr>
            </w:pPr>
            <w:r w:rsidRPr="00D17664">
              <w:rPr>
                <w:color w:val="000000"/>
                <w:sz w:val="20"/>
                <w:szCs w:val="20"/>
              </w:rPr>
              <w:t xml:space="preserve">(9) Entrada da Política na </w:t>
            </w:r>
            <w:r w:rsidRPr="00D17664">
              <w:rPr>
                <w:i/>
                <w:color w:val="000000"/>
                <w:sz w:val="20"/>
                <w:szCs w:val="20"/>
              </w:rPr>
              <w:t>Policy Stream</w:t>
            </w:r>
          </w:p>
          <w:p w:rsidR="002D07C8" w:rsidRPr="006C67D3" w:rsidRDefault="002D07C8" w:rsidP="002E272D">
            <w:pPr>
              <w:jc w:val="center"/>
              <w:rPr>
                <w:color w:val="000000"/>
                <w:sz w:val="20"/>
                <w:szCs w:val="20"/>
              </w:rPr>
            </w:pPr>
            <w:r w:rsidRPr="00D17664">
              <w:rPr>
                <w:color w:val="000000"/>
                <w:sz w:val="20"/>
                <w:szCs w:val="20"/>
              </w:rPr>
              <w:t>(10) Resultado</w:t>
            </w:r>
          </w:p>
        </w:tc>
      </w:tr>
      <w:tr w:rsidR="002D07C8" w:rsidRPr="006C67D3" w:rsidTr="002E272D">
        <w:trPr>
          <w:trHeight w:val="1755"/>
        </w:trPr>
        <w:tc>
          <w:tcPr>
            <w:tcW w:w="57" w:type="pct"/>
            <w:tcBorders>
              <w:top w:val="single" w:sz="4" w:space="0" w:color="auto"/>
              <w:bottom w:val="nil"/>
              <w:right w:val="nil"/>
            </w:tcBorders>
            <w:noWrap/>
            <w:vAlign w:val="center"/>
          </w:tcPr>
          <w:p w:rsidR="002D07C8" w:rsidRPr="006C67D3" w:rsidRDefault="002D07C8" w:rsidP="002E272D">
            <w:pPr>
              <w:jc w:val="center"/>
              <w:rPr>
                <w:color w:val="000000"/>
                <w:sz w:val="20"/>
                <w:szCs w:val="20"/>
              </w:rPr>
            </w:pPr>
          </w:p>
        </w:tc>
        <w:tc>
          <w:tcPr>
            <w:tcW w:w="924" w:type="pct"/>
            <w:tcBorders>
              <w:top w:val="single" w:sz="4" w:space="0" w:color="auto"/>
              <w:left w:val="single" w:sz="4" w:space="0" w:color="auto"/>
              <w:bottom w:val="single" w:sz="4" w:space="0" w:color="000000"/>
              <w:right w:val="nil"/>
            </w:tcBorders>
            <w:noWrap/>
            <w:vAlign w:val="center"/>
          </w:tcPr>
          <w:p w:rsidR="002D07C8" w:rsidRPr="006C67D3" w:rsidRDefault="002D07C8" w:rsidP="002E272D">
            <w:pPr>
              <w:jc w:val="center"/>
              <w:rPr>
                <w:color w:val="000000"/>
                <w:sz w:val="20"/>
                <w:szCs w:val="20"/>
              </w:rPr>
            </w:pPr>
            <w:r w:rsidRPr="006C67D3">
              <w:rPr>
                <w:color w:val="000000"/>
                <w:sz w:val="20"/>
                <w:szCs w:val="20"/>
              </w:rPr>
              <w:t xml:space="preserve">Micro </w:t>
            </w:r>
            <w:r w:rsidR="009A15FF">
              <w:rPr>
                <w:color w:val="000000"/>
                <w:sz w:val="20"/>
                <w:szCs w:val="20"/>
              </w:rPr>
              <w:t>–Nível</w:t>
            </w:r>
          </w:p>
        </w:tc>
        <w:tc>
          <w:tcPr>
            <w:tcW w:w="300"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448" w:type="pct"/>
            <w:vMerge/>
            <w:tcBorders>
              <w:top w:val="nil"/>
              <w:left w:val="single" w:sz="4" w:space="0" w:color="auto"/>
              <w:bottom w:val="single" w:sz="4" w:space="0" w:color="000000"/>
              <w:right w:val="nil"/>
            </w:tcBorders>
            <w:vAlign w:val="center"/>
          </w:tcPr>
          <w:p w:rsidR="002D07C8" w:rsidRPr="006C67D3" w:rsidRDefault="002D07C8" w:rsidP="002E272D">
            <w:pPr>
              <w:rPr>
                <w:color w:val="000000"/>
                <w:sz w:val="20"/>
                <w:szCs w:val="20"/>
              </w:rPr>
            </w:pPr>
          </w:p>
        </w:tc>
        <w:tc>
          <w:tcPr>
            <w:tcW w:w="801"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802" w:type="pct"/>
            <w:vMerge/>
            <w:tcBorders>
              <w:top w:val="nil"/>
              <w:left w:val="single" w:sz="4" w:space="0" w:color="auto"/>
              <w:bottom w:val="single" w:sz="4" w:space="0" w:color="000000"/>
              <w:right w:val="single" w:sz="4" w:space="0" w:color="auto"/>
            </w:tcBorders>
            <w:vAlign w:val="center"/>
          </w:tcPr>
          <w:p w:rsidR="002D07C8" w:rsidRPr="006C67D3" w:rsidRDefault="002D07C8" w:rsidP="002E272D">
            <w:pPr>
              <w:rPr>
                <w:color w:val="000000"/>
                <w:sz w:val="20"/>
                <w:szCs w:val="20"/>
              </w:rPr>
            </w:pPr>
          </w:p>
        </w:tc>
        <w:tc>
          <w:tcPr>
            <w:tcW w:w="1667" w:type="pct"/>
            <w:vMerge/>
            <w:tcBorders>
              <w:left w:val="single" w:sz="4" w:space="0" w:color="auto"/>
              <w:bottom w:val="single" w:sz="4" w:space="0" w:color="auto"/>
              <w:right w:val="single" w:sz="4" w:space="0" w:color="auto"/>
            </w:tcBorders>
            <w:vAlign w:val="bottom"/>
          </w:tcPr>
          <w:p w:rsidR="002D07C8" w:rsidRPr="006C67D3" w:rsidRDefault="002D07C8" w:rsidP="002E272D">
            <w:pPr>
              <w:jc w:val="center"/>
              <w:rPr>
                <w:color w:val="000000"/>
                <w:sz w:val="20"/>
                <w:szCs w:val="20"/>
              </w:rPr>
            </w:pPr>
          </w:p>
        </w:tc>
      </w:tr>
    </w:tbl>
    <w:p w:rsidR="002D07C8" w:rsidRPr="00187F2A" w:rsidRDefault="002D07C8" w:rsidP="002D07C8">
      <w:pPr>
        <w:pStyle w:val="Legenda"/>
        <w:jc w:val="center"/>
        <w:rPr>
          <w:rFonts w:ascii="AdvTR" w:hAnsi="AdvTR" w:cs="AdvTR"/>
          <w:b w:val="0"/>
          <w:color w:val="auto"/>
          <w:sz w:val="20"/>
          <w:szCs w:val="20"/>
        </w:rPr>
        <w:sectPr w:rsidR="002D07C8" w:rsidRPr="00187F2A" w:rsidSect="002E272D">
          <w:pgSz w:w="16838" w:h="11906" w:orient="landscape"/>
          <w:pgMar w:top="1701" w:right="1417" w:bottom="1701" w:left="1417" w:header="708" w:footer="708" w:gutter="0"/>
          <w:cols w:space="708"/>
          <w:docGrid w:linePitch="360"/>
        </w:sectPr>
      </w:pPr>
      <w:r w:rsidRPr="00187F2A">
        <w:rPr>
          <w:b w:val="0"/>
          <w:color w:val="auto"/>
        </w:rPr>
        <w:t xml:space="preserve">Adaptado pelo autor: Fonte </w:t>
      </w:r>
      <w:r>
        <w:rPr>
          <w:b w:val="0"/>
          <w:color w:val="auto"/>
        </w:rPr>
        <w:t>(</w:t>
      </w:r>
      <w:r w:rsidRPr="00187F2A">
        <w:rPr>
          <w:b w:val="0"/>
          <w:color w:val="auto"/>
        </w:rPr>
        <w:t>HOWLETT, CASHORE 2014: 23</w:t>
      </w:r>
      <w:r>
        <w:rPr>
          <w:b w:val="0"/>
          <w:color w:val="auto"/>
        </w:rPr>
        <w:t xml:space="preserve"> - 24; DOLOWITZ E MASH, 2000: 9; </w:t>
      </w:r>
      <w:r>
        <w:rPr>
          <w:b w:val="0"/>
          <w:color w:val="auto"/>
          <w:szCs w:val="16"/>
        </w:rPr>
        <w:t xml:space="preserve">EVANS E DAVIES, </w:t>
      </w:r>
      <w:r w:rsidRPr="006C67D3">
        <w:rPr>
          <w:b w:val="0"/>
          <w:color w:val="auto"/>
          <w:szCs w:val="16"/>
        </w:rPr>
        <w:t>1999</w:t>
      </w:r>
      <w:r>
        <w:rPr>
          <w:b w:val="0"/>
          <w:color w:val="auto"/>
          <w:szCs w:val="16"/>
        </w:rPr>
        <w:t xml:space="preserve">; </w:t>
      </w:r>
      <w:r w:rsidRPr="00E6054F">
        <w:rPr>
          <w:b w:val="0"/>
          <w:color w:val="auto"/>
        </w:rPr>
        <w:t>BELÉM LOPES, SANTOS E FARIA, 2012; 2016</w:t>
      </w:r>
      <w:r w:rsidRPr="006C67D3">
        <w:rPr>
          <w:b w:val="0"/>
          <w:color w:val="auto"/>
          <w:szCs w:val="16"/>
        </w:rPr>
        <w:t>)</w:t>
      </w:r>
    </w:p>
    <w:p w:rsidR="002D07C8" w:rsidRDefault="002D07C8" w:rsidP="002D07C8">
      <w:pPr>
        <w:spacing w:line="360" w:lineRule="auto"/>
        <w:ind w:firstLine="708"/>
        <w:jc w:val="both"/>
        <w:rPr>
          <w:color w:val="000000"/>
        </w:rPr>
      </w:pPr>
      <w:r>
        <w:rPr>
          <w:color w:val="000000"/>
        </w:rPr>
        <w:lastRenderedPageBreak/>
        <w:t xml:space="preserve">Sendo assim, com respeito à dimensão de Nível – Macro, </w:t>
      </w:r>
      <w:r w:rsidRPr="003750D8">
        <w:t xml:space="preserve">Evans e Davies (1999) </w:t>
      </w:r>
      <w:r>
        <w:t xml:space="preserve">apontam que </w:t>
      </w:r>
      <w:r w:rsidRPr="003750D8">
        <w:t xml:space="preserve">fatores estruturais </w:t>
      </w:r>
      <w:r>
        <w:t>(</w:t>
      </w:r>
      <w:r w:rsidRPr="003750D8">
        <w:t>exógen</w:t>
      </w:r>
      <w:r>
        <w:t>os e endógeno</w:t>
      </w:r>
      <w:r w:rsidRPr="003750D8">
        <w:t>s</w:t>
      </w:r>
      <w:r>
        <w:t>) podem ser</w:t>
      </w:r>
      <w:r w:rsidR="005E16F6">
        <w:t xml:space="preserve"> </w:t>
      </w:r>
      <w:r>
        <w:t xml:space="preserve">de </w:t>
      </w:r>
      <w:r w:rsidRPr="003750D8">
        <w:t>natureza soc</w:t>
      </w:r>
      <w:r>
        <w:t xml:space="preserve">ial, econômica e institucional e </w:t>
      </w:r>
      <w:r w:rsidRPr="003750D8">
        <w:t>podem influenciar n</w:t>
      </w:r>
      <w:r>
        <w:t xml:space="preserve">o contexto em que ocorre a transferência de </w:t>
      </w:r>
      <w:r w:rsidRPr="003750D8">
        <w:t>uma política pública</w:t>
      </w:r>
      <w:r>
        <w:t xml:space="preserve">. </w:t>
      </w:r>
      <w:r w:rsidRPr="003750D8">
        <w:t xml:space="preserve">A tabela abaixo apresenta as potenciais </w:t>
      </w:r>
      <w:r w:rsidRPr="008D647F">
        <w:rPr>
          <w:color w:val="000000"/>
        </w:rPr>
        <w:t>variáveis estruturais</w:t>
      </w:r>
      <w:r w:rsidR="005E16F6">
        <w:rPr>
          <w:color w:val="000000"/>
        </w:rPr>
        <w:t xml:space="preserve"> </w:t>
      </w:r>
      <w:r w:rsidRPr="008D647F">
        <w:rPr>
          <w:color w:val="000000"/>
        </w:rPr>
        <w:t>exógenas e endógenas</w:t>
      </w:r>
      <w:r>
        <w:rPr>
          <w:color w:val="000000"/>
        </w:rPr>
        <w:t xml:space="preserve"> defendidas pelos autores.</w:t>
      </w:r>
    </w:p>
    <w:p w:rsidR="00C8429C" w:rsidRDefault="00C8429C" w:rsidP="00626D58">
      <w:pPr>
        <w:ind w:firstLine="708"/>
        <w:jc w:val="both"/>
        <w:rPr>
          <w:color w:val="000000"/>
        </w:rPr>
      </w:pPr>
    </w:p>
    <w:p w:rsidR="002D07C8" w:rsidRPr="00800228" w:rsidRDefault="002D07C8" w:rsidP="002D07C8">
      <w:pPr>
        <w:pStyle w:val="Legenda"/>
        <w:keepNext/>
        <w:jc w:val="center"/>
        <w:rPr>
          <w:color w:val="auto"/>
          <w:sz w:val="24"/>
          <w:szCs w:val="24"/>
        </w:rPr>
      </w:pPr>
      <w:r w:rsidRPr="00800228">
        <w:rPr>
          <w:color w:val="auto"/>
          <w:sz w:val="24"/>
          <w:szCs w:val="24"/>
        </w:rPr>
        <w:t>Tabela</w:t>
      </w:r>
      <w:r w:rsidR="00626D58">
        <w:rPr>
          <w:color w:val="auto"/>
          <w:sz w:val="24"/>
          <w:szCs w:val="24"/>
        </w:rPr>
        <w:t xml:space="preserve"> 3</w:t>
      </w:r>
      <w:r w:rsidR="00C8429C">
        <w:rPr>
          <w:color w:val="auto"/>
          <w:sz w:val="24"/>
          <w:szCs w:val="24"/>
        </w:rPr>
        <w:t>:</w:t>
      </w:r>
      <w:r>
        <w:rPr>
          <w:color w:val="auto"/>
          <w:sz w:val="24"/>
          <w:szCs w:val="24"/>
        </w:rPr>
        <w:t xml:space="preserve"> Macro – Nível (Fatores </w:t>
      </w:r>
      <w:r w:rsidRPr="00800228">
        <w:rPr>
          <w:color w:val="auto"/>
          <w:sz w:val="24"/>
          <w:szCs w:val="24"/>
        </w:rPr>
        <w:t>estruturais)</w:t>
      </w:r>
    </w:p>
    <w:tbl>
      <w:tblPr>
        <w:tblW w:w="5000" w:type="pct"/>
        <w:tblCellMar>
          <w:left w:w="70" w:type="dxa"/>
          <w:right w:w="70" w:type="dxa"/>
        </w:tblCellMar>
        <w:tblLook w:val="00A0"/>
      </w:tblPr>
      <w:tblGrid>
        <w:gridCol w:w="1034"/>
        <w:gridCol w:w="3368"/>
        <w:gridCol w:w="4242"/>
      </w:tblGrid>
      <w:tr w:rsidR="002D07C8" w:rsidRPr="00800228" w:rsidTr="002E272D">
        <w:trPr>
          <w:trHeight w:val="315"/>
        </w:trPr>
        <w:tc>
          <w:tcPr>
            <w:tcW w:w="598" w:type="pct"/>
            <w:tcBorders>
              <w:top w:val="single" w:sz="8" w:space="0" w:color="auto"/>
              <w:left w:val="single" w:sz="4" w:space="0" w:color="auto"/>
              <w:bottom w:val="single" w:sz="4" w:space="0" w:color="auto"/>
              <w:right w:val="single" w:sz="8" w:space="0" w:color="auto"/>
            </w:tcBorders>
            <w:noWrap/>
            <w:vAlign w:val="center"/>
          </w:tcPr>
          <w:p w:rsidR="002D07C8" w:rsidRPr="007D4470" w:rsidRDefault="002D07C8" w:rsidP="002E272D">
            <w:pPr>
              <w:jc w:val="center"/>
              <w:rPr>
                <w:b/>
                <w:bCs/>
                <w:color w:val="000000"/>
              </w:rPr>
            </w:pPr>
            <w:r w:rsidRPr="007D4470">
              <w:rPr>
                <w:b/>
                <w:bCs/>
                <w:color w:val="000000"/>
                <w:sz w:val="22"/>
                <w:szCs w:val="22"/>
              </w:rPr>
              <w:t>Fatores</w:t>
            </w:r>
          </w:p>
        </w:tc>
        <w:tc>
          <w:tcPr>
            <w:tcW w:w="1948" w:type="pct"/>
            <w:tcBorders>
              <w:top w:val="single" w:sz="8" w:space="0" w:color="auto"/>
              <w:left w:val="nil"/>
              <w:bottom w:val="single" w:sz="4" w:space="0" w:color="auto"/>
              <w:right w:val="single" w:sz="8" w:space="0" w:color="auto"/>
            </w:tcBorders>
            <w:noWrap/>
            <w:vAlign w:val="center"/>
          </w:tcPr>
          <w:p w:rsidR="002D07C8" w:rsidRPr="007D4470" w:rsidRDefault="002D07C8" w:rsidP="002E272D">
            <w:pPr>
              <w:jc w:val="center"/>
              <w:rPr>
                <w:b/>
                <w:bCs/>
                <w:color w:val="000000"/>
              </w:rPr>
            </w:pPr>
            <w:r w:rsidRPr="007D4470">
              <w:rPr>
                <w:b/>
                <w:bCs/>
                <w:color w:val="000000"/>
                <w:sz w:val="22"/>
                <w:szCs w:val="22"/>
              </w:rPr>
              <w:t xml:space="preserve">Variáveis </w:t>
            </w:r>
          </w:p>
        </w:tc>
        <w:tc>
          <w:tcPr>
            <w:tcW w:w="2454" w:type="pct"/>
            <w:tcBorders>
              <w:top w:val="single" w:sz="4" w:space="0" w:color="auto"/>
              <w:left w:val="nil"/>
              <w:bottom w:val="single" w:sz="4" w:space="0" w:color="auto"/>
              <w:right w:val="single" w:sz="4" w:space="0" w:color="auto"/>
            </w:tcBorders>
            <w:vAlign w:val="bottom"/>
          </w:tcPr>
          <w:p w:rsidR="002D07C8" w:rsidRPr="007D4470" w:rsidRDefault="002D07C8" w:rsidP="002E272D">
            <w:pPr>
              <w:jc w:val="center"/>
              <w:rPr>
                <w:b/>
                <w:bCs/>
                <w:color w:val="000000"/>
              </w:rPr>
            </w:pPr>
            <w:r w:rsidRPr="007D4470">
              <w:rPr>
                <w:b/>
                <w:bCs/>
                <w:color w:val="000000"/>
                <w:sz w:val="22"/>
                <w:szCs w:val="22"/>
              </w:rPr>
              <w:t>Efeitos de impacto sobre a Transferência</w:t>
            </w:r>
          </w:p>
        </w:tc>
      </w:tr>
      <w:tr w:rsidR="002D07C8" w:rsidRPr="00800228" w:rsidTr="002E272D">
        <w:trPr>
          <w:trHeight w:val="900"/>
        </w:trPr>
        <w:tc>
          <w:tcPr>
            <w:tcW w:w="598" w:type="pct"/>
            <w:vMerge w:val="restart"/>
            <w:tcBorders>
              <w:top w:val="single" w:sz="4" w:space="0" w:color="auto"/>
              <w:left w:val="single" w:sz="8" w:space="0" w:color="auto"/>
              <w:bottom w:val="single" w:sz="4" w:space="0" w:color="auto"/>
              <w:right w:val="single" w:sz="8" w:space="0" w:color="000000"/>
            </w:tcBorders>
            <w:vAlign w:val="center"/>
          </w:tcPr>
          <w:p w:rsidR="002D07C8" w:rsidRPr="007D4470" w:rsidRDefault="00322443" w:rsidP="002E272D">
            <w:pPr>
              <w:jc w:val="center"/>
              <w:rPr>
                <w:color w:val="000000"/>
              </w:rPr>
            </w:pPr>
            <w:r w:rsidRPr="007D4470">
              <w:rPr>
                <w:color w:val="000000"/>
                <w:sz w:val="22"/>
                <w:szCs w:val="22"/>
              </w:rPr>
              <w:t>Exógeno</w:t>
            </w:r>
          </w:p>
        </w:tc>
        <w:tc>
          <w:tcPr>
            <w:tcW w:w="1948" w:type="pct"/>
            <w:tcBorders>
              <w:top w:val="single" w:sz="4" w:space="0" w:color="auto"/>
              <w:left w:val="single" w:sz="4" w:space="0" w:color="auto"/>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Econômica</w:t>
            </w:r>
          </w:p>
        </w:tc>
        <w:tc>
          <w:tcPr>
            <w:tcW w:w="2454" w:type="pct"/>
            <w:tcBorders>
              <w:top w:val="single" w:sz="4" w:space="0" w:color="auto"/>
              <w:left w:val="nil"/>
              <w:bottom w:val="single" w:sz="4" w:space="0" w:color="auto"/>
              <w:right w:val="single" w:sz="4" w:space="0" w:color="auto"/>
            </w:tcBorders>
            <w:vAlign w:val="center"/>
          </w:tcPr>
          <w:p w:rsidR="002D07C8" w:rsidRPr="007D4470" w:rsidRDefault="002D07C8" w:rsidP="002E272D">
            <w:pPr>
              <w:jc w:val="both"/>
              <w:rPr>
                <w:color w:val="000000"/>
              </w:rPr>
            </w:pPr>
            <w:r w:rsidRPr="007D4470">
              <w:rPr>
                <w:color w:val="000000"/>
                <w:sz w:val="22"/>
                <w:szCs w:val="22"/>
              </w:rPr>
              <w:t xml:space="preserve">Estruturas do </w:t>
            </w:r>
            <w:r>
              <w:rPr>
                <w:color w:val="000000"/>
                <w:sz w:val="22"/>
                <w:szCs w:val="22"/>
              </w:rPr>
              <w:t>M</w:t>
            </w:r>
            <w:r w:rsidRPr="007D4470">
              <w:rPr>
                <w:color w:val="000000"/>
                <w:sz w:val="22"/>
                <w:szCs w:val="22"/>
              </w:rPr>
              <w:t xml:space="preserve">ercado </w:t>
            </w:r>
            <w:r>
              <w:rPr>
                <w:color w:val="000000"/>
                <w:sz w:val="22"/>
                <w:szCs w:val="22"/>
              </w:rPr>
              <w:t>I</w:t>
            </w:r>
            <w:r w:rsidRPr="007D4470">
              <w:rPr>
                <w:color w:val="000000"/>
                <w:sz w:val="22"/>
                <w:szCs w:val="22"/>
              </w:rPr>
              <w:t>n</w:t>
            </w:r>
            <w:r>
              <w:rPr>
                <w:color w:val="000000"/>
                <w:sz w:val="22"/>
                <w:szCs w:val="22"/>
              </w:rPr>
              <w:t xml:space="preserve">ternacional, </w:t>
            </w:r>
            <w:r w:rsidRPr="007D4470">
              <w:rPr>
                <w:color w:val="000000"/>
                <w:sz w:val="22"/>
                <w:szCs w:val="22"/>
              </w:rPr>
              <w:t>Sistema Financeiro Internacional, Atores econômicos transnacionais (corporações multinacionais).</w:t>
            </w:r>
          </w:p>
        </w:tc>
      </w:tr>
      <w:tr w:rsidR="002D07C8" w:rsidRPr="00800228" w:rsidTr="002E272D">
        <w:trPr>
          <w:trHeight w:val="900"/>
        </w:trPr>
        <w:tc>
          <w:tcPr>
            <w:tcW w:w="598" w:type="pct"/>
            <w:vMerge/>
            <w:tcBorders>
              <w:top w:val="nil"/>
              <w:left w:val="single" w:sz="8" w:space="0" w:color="auto"/>
              <w:bottom w:val="single" w:sz="4" w:space="0" w:color="auto"/>
              <w:right w:val="single" w:sz="8" w:space="0" w:color="000000"/>
            </w:tcBorders>
            <w:vAlign w:val="center"/>
          </w:tcPr>
          <w:p w:rsidR="002D07C8" w:rsidRPr="007D4470" w:rsidRDefault="002D07C8" w:rsidP="002E272D">
            <w:pPr>
              <w:rPr>
                <w:color w:val="000000"/>
              </w:rPr>
            </w:pPr>
          </w:p>
        </w:tc>
        <w:tc>
          <w:tcPr>
            <w:tcW w:w="1948" w:type="pct"/>
            <w:tcBorders>
              <w:top w:val="nil"/>
              <w:left w:val="single" w:sz="4" w:space="0" w:color="auto"/>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Tecnológica</w:t>
            </w:r>
          </w:p>
        </w:tc>
        <w:tc>
          <w:tcPr>
            <w:tcW w:w="2454" w:type="pct"/>
            <w:tcBorders>
              <w:top w:val="nil"/>
              <w:left w:val="nil"/>
              <w:bottom w:val="single" w:sz="4" w:space="0" w:color="auto"/>
              <w:right w:val="single" w:sz="4" w:space="0" w:color="auto"/>
            </w:tcBorders>
            <w:vAlign w:val="center"/>
          </w:tcPr>
          <w:p w:rsidR="002D07C8" w:rsidRPr="007D4470" w:rsidRDefault="002D07C8" w:rsidP="002E272D">
            <w:pPr>
              <w:jc w:val="both"/>
              <w:rPr>
                <w:color w:val="000000"/>
              </w:rPr>
            </w:pPr>
            <w:r w:rsidRPr="007D4470">
              <w:rPr>
                <w:color w:val="000000"/>
                <w:sz w:val="22"/>
                <w:szCs w:val="22"/>
              </w:rPr>
              <w:t>Sistemas de comunicação internacionais – telecomunicações (satélites e celulares); Pós Fordismo</w:t>
            </w:r>
            <w:r>
              <w:rPr>
                <w:color w:val="000000"/>
                <w:sz w:val="22"/>
                <w:szCs w:val="22"/>
              </w:rPr>
              <w:t>.</w:t>
            </w:r>
          </w:p>
        </w:tc>
      </w:tr>
      <w:tr w:rsidR="002D07C8" w:rsidRPr="007D4470" w:rsidTr="002E272D">
        <w:trPr>
          <w:trHeight w:val="1200"/>
        </w:trPr>
        <w:tc>
          <w:tcPr>
            <w:tcW w:w="598" w:type="pct"/>
            <w:vMerge/>
            <w:tcBorders>
              <w:top w:val="nil"/>
              <w:left w:val="single" w:sz="8" w:space="0" w:color="auto"/>
              <w:bottom w:val="single" w:sz="4" w:space="0" w:color="auto"/>
              <w:right w:val="single" w:sz="8" w:space="0" w:color="000000"/>
            </w:tcBorders>
            <w:vAlign w:val="center"/>
          </w:tcPr>
          <w:p w:rsidR="002D07C8" w:rsidRPr="007D4470" w:rsidRDefault="002D07C8" w:rsidP="002E272D">
            <w:pPr>
              <w:rPr>
                <w:color w:val="000000"/>
              </w:rPr>
            </w:pPr>
          </w:p>
        </w:tc>
        <w:tc>
          <w:tcPr>
            <w:tcW w:w="1948" w:type="pct"/>
            <w:tcBorders>
              <w:top w:val="nil"/>
              <w:left w:val="single" w:sz="4" w:space="0" w:color="auto"/>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Ideológica</w:t>
            </w:r>
          </w:p>
        </w:tc>
        <w:tc>
          <w:tcPr>
            <w:tcW w:w="2454" w:type="pct"/>
            <w:tcBorders>
              <w:top w:val="nil"/>
              <w:left w:val="nil"/>
              <w:bottom w:val="single" w:sz="4" w:space="0" w:color="auto"/>
              <w:right w:val="single" w:sz="4" w:space="0" w:color="auto"/>
            </w:tcBorders>
            <w:vAlign w:val="center"/>
          </w:tcPr>
          <w:p w:rsidR="002D07C8" w:rsidRPr="007D4470" w:rsidRDefault="002D07C8" w:rsidP="002E272D">
            <w:pPr>
              <w:jc w:val="both"/>
              <w:rPr>
                <w:color w:val="000000"/>
              </w:rPr>
            </w:pPr>
            <w:r w:rsidRPr="007D4470">
              <w:rPr>
                <w:color w:val="000000"/>
                <w:sz w:val="22"/>
                <w:szCs w:val="22"/>
              </w:rPr>
              <w:t xml:space="preserve">Fim do conflito bipolar e mudanças geopolíticas, </w:t>
            </w:r>
            <w:r w:rsidRPr="00BE1428">
              <w:rPr>
                <w:i/>
                <w:color w:val="000000"/>
                <w:sz w:val="22"/>
                <w:szCs w:val="22"/>
              </w:rPr>
              <w:t>break-up of embedded liberalism</w:t>
            </w:r>
            <w:r w:rsidRPr="007D4470">
              <w:rPr>
                <w:color w:val="000000"/>
                <w:sz w:val="22"/>
                <w:szCs w:val="22"/>
              </w:rPr>
              <w:t>e emerg</w:t>
            </w:r>
            <w:r>
              <w:rPr>
                <w:color w:val="000000"/>
                <w:sz w:val="22"/>
                <w:szCs w:val="22"/>
              </w:rPr>
              <w:t>ê</w:t>
            </w:r>
            <w:r w:rsidRPr="007D4470">
              <w:rPr>
                <w:color w:val="000000"/>
                <w:sz w:val="22"/>
                <w:szCs w:val="22"/>
              </w:rPr>
              <w:t>ncia</w:t>
            </w:r>
            <w:r>
              <w:rPr>
                <w:color w:val="000000"/>
                <w:sz w:val="22"/>
                <w:szCs w:val="22"/>
              </w:rPr>
              <w:t xml:space="preserve"> do liberalismo predatório</w:t>
            </w:r>
            <w:r w:rsidRPr="007D4470">
              <w:rPr>
                <w:color w:val="000000"/>
                <w:sz w:val="22"/>
                <w:szCs w:val="22"/>
              </w:rPr>
              <w:t xml:space="preserve">, </w:t>
            </w:r>
            <w:r>
              <w:rPr>
                <w:color w:val="000000"/>
                <w:sz w:val="22"/>
                <w:szCs w:val="22"/>
              </w:rPr>
              <w:t>desenvolvimento das novas comunidades epistêmicas</w:t>
            </w:r>
            <w:r w:rsidRPr="007D4470">
              <w:rPr>
                <w:color w:val="000000"/>
                <w:sz w:val="22"/>
                <w:szCs w:val="22"/>
              </w:rPr>
              <w:t>.</w:t>
            </w:r>
          </w:p>
        </w:tc>
      </w:tr>
      <w:tr w:rsidR="002D07C8" w:rsidRPr="007D4470" w:rsidTr="002E272D">
        <w:trPr>
          <w:trHeight w:val="600"/>
        </w:trPr>
        <w:tc>
          <w:tcPr>
            <w:tcW w:w="598" w:type="pct"/>
            <w:vMerge/>
            <w:tcBorders>
              <w:top w:val="nil"/>
              <w:left w:val="single" w:sz="8" w:space="0" w:color="auto"/>
              <w:bottom w:val="single" w:sz="4" w:space="0" w:color="auto"/>
              <w:right w:val="single" w:sz="8" w:space="0" w:color="000000"/>
            </w:tcBorders>
            <w:vAlign w:val="center"/>
          </w:tcPr>
          <w:p w:rsidR="002D07C8" w:rsidRPr="007D4470" w:rsidRDefault="002D07C8" w:rsidP="002E272D">
            <w:pPr>
              <w:rPr>
                <w:color w:val="000000"/>
              </w:rPr>
            </w:pPr>
          </w:p>
        </w:tc>
        <w:tc>
          <w:tcPr>
            <w:tcW w:w="1948" w:type="pct"/>
            <w:tcBorders>
              <w:top w:val="nil"/>
              <w:left w:val="nil"/>
              <w:bottom w:val="single" w:sz="4" w:space="0" w:color="auto"/>
              <w:right w:val="nil"/>
            </w:tcBorders>
            <w:vAlign w:val="center"/>
          </w:tcPr>
          <w:p w:rsidR="002D07C8" w:rsidRPr="007D4470" w:rsidRDefault="002D07C8" w:rsidP="002E272D">
            <w:pPr>
              <w:jc w:val="center"/>
              <w:rPr>
                <w:color w:val="000000"/>
              </w:rPr>
            </w:pPr>
            <w:r w:rsidRPr="007D4470">
              <w:rPr>
                <w:color w:val="000000"/>
                <w:sz w:val="22"/>
                <w:szCs w:val="22"/>
              </w:rPr>
              <w:t>Institucional</w:t>
            </w:r>
          </w:p>
        </w:tc>
        <w:tc>
          <w:tcPr>
            <w:tcW w:w="2454" w:type="pct"/>
            <w:tcBorders>
              <w:top w:val="nil"/>
              <w:left w:val="single" w:sz="4" w:space="0" w:color="auto"/>
              <w:bottom w:val="single" w:sz="4" w:space="0" w:color="auto"/>
              <w:right w:val="single" w:sz="4" w:space="0" w:color="auto"/>
            </w:tcBorders>
            <w:vAlign w:val="center"/>
          </w:tcPr>
          <w:p w:rsidR="002D07C8" w:rsidRPr="007D4470" w:rsidRDefault="002D07C8" w:rsidP="002E272D">
            <w:pPr>
              <w:jc w:val="both"/>
              <w:rPr>
                <w:color w:val="000000"/>
              </w:rPr>
            </w:pPr>
            <w:r w:rsidRPr="007D4470">
              <w:rPr>
                <w:color w:val="000000"/>
                <w:sz w:val="22"/>
                <w:szCs w:val="22"/>
              </w:rPr>
              <w:t>Gatt, G7, EU, Regimes Internacionais</w:t>
            </w:r>
          </w:p>
        </w:tc>
      </w:tr>
      <w:tr w:rsidR="002D07C8" w:rsidRPr="002D7C6A" w:rsidTr="002E272D">
        <w:trPr>
          <w:trHeight w:val="978"/>
        </w:trPr>
        <w:tc>
          <w:tcPr>
            <w:tcW w:w="598" w:type="pct"/>
            <w:vMerge w:val="restart"/>
            <w:tcBorders>
              <w:top w:val="single" w:sz="4" w:space="0" w:color="auto"/>
              <w:left w:val="single" w:sz="8" w:space="0" w:color="auto"/>
              <w:bottom w:val="single" w:sz="8" w:space="0" w:color="000000"/>
              <w:right w:val="single" w:sz="4" w:space="0" w:color="auto"/>
            </w:tcBorders>
            <w:noWrap/>
            <w:vAlign w:val="center"/>
          </w:tcPr>
          <w:p w:rsidR="002D07C8" w:rsidRPr="007D4470" w:rsidRDefault="00322443" w:rsidP="002E272D">
            <w:pPr>
              <w:jc w:val="center"/>
              <w:rPr>
                <w:color w:val="000000"/>
              </w:rPr>
            </w:pPr>
            <w:r w:rsidRPr="007D4470">
              <w:rPr>
                <w:color w:val="000000"/>
                <w:sz w:val="22"/>
                <w:szCs w:val="22"/>
              </w:rPr>
              <w:t>Endógeno</w:t>
            </w:r>
          </w:p>
        </w:tc>
        <w:tc>
          <w:tcPr>
            <w:tcW w:w="1948" w:type="pct"/>
            <w:tcBorders>
              <w:top w:val="single" w:sz="4" w:space="0" w:color="auto"/>
              <w:left w:val="nil"/>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Econômica</w:t>
            </w:r>
          </w:p>
        </w:tc>
        <w:tc>
          <w:tcPr>
            <w:tcW w:w="2454" w:type="pct"/>
            <w:tcBorders>
              <w:top w:val="nil"/>
              <w:left w:val="nil"/>
              <w:bottom w:val="single" w:sz="4" w:space="0" w:color="auto"/>
              <w:right w:val="single" w:sz="4" w:space="0" w:color="auto"/>
            </w:tcBorders>
            <w:vAlign w:val="center"/>
          </w:tcPr>
          <w:p w:rsidR="002D07C8" w:rsidRPr="00446A10" w:rsidRDefault="002D07C8" w:rsidP="002E272D">
            <w:pPr>
              <w:pStyle w:val="Pr-formataoHTML"/>
              <w:shd w:val="clear" w:color="auto" w:fill="FFFFFF"/>
              <w:jc w:val="both"/>
              <w:rPr>
                <w:rFonts w:ascii="inherit" w:hAnsi="inherit"/>
                <w:color w:val="212121"/>
              </w:rPr>
            </w:pPr>
            <w:r w:rsidRPr="002D7C6A">
              <w:rPr>
                <w:color w:val="000000"/>
                <w:sz w:val="22"/>
                <w:szCs w:val="22"/>
              </w:rPr>
              <w:t>P</w:t>
            </w:r>
            <w:r w:rsidRPr="002D7C6A">
              <w:rPr>
                <w:rFonts w:ascii="Times New Roman" w:hAnsi="Times New Roman" w:cs="Times New Roman"/>
                <w:sz w:val="22"/>
                <w:szCs w:val="22"/>
              </w:rPr>
              <w:t>olíticas macroeconômicas;</w:t>
            </w:r>
            <w:r w:rsidRPr="002D7C6A">
              <w:rPr>
                <w:rFonts w:ascii="Times New Roman" w:hAnsi="Times New Roman" w:cs="Times New Roman"/>
                <w:sz w:val="22"/>
                <w:szCs w:val="22"/>
                <w:lang w:val="pt-PT"/>
              </w:rPr>
              <w:t xml:space="preserve"> O poder estrutural das diferentes frações de capital doméstico, posição dentro da economia mundial.</w:t>
            </w:r>
          </w:p>
        </w:tc>
      </w:tr>
      <w:tr w:rsidR="002D07C8" w:rsidRPr="002D7C6A" w:rsidTr="002E272D">
        <w:trPr>
          <w:trHeight w:val="600"/>
        </w:trPr>
        <w:tc>
          <w:tcPr>
            <w:tcW w:w="598" w:type="pct"/>
            <w:vMerge/>
            <w:tcBorders>
              <w:top w:val="nil"/>
              <w:left w:val="single" w:sz="8" w:space="0" w:color="auto"/>
              <w:bottom w:val="single" w:sz="8" w:space="0" w:color="000000"/>
              <w:right w:val="single" w:sz="4" w:space="0" w:color="auto"/>
            </w:tcBorders>
            <w:vAlign w:val="center"/>
          </w:tcPr>
          <w:p w:rsidR="002D07C8" w:rsidRPr="002D7C6A" w:rsidRDefault="002D07C8" w:rsidP="002E272D">
            <w:pPr>
              <w:rPr>
                <w:color w:val="000000"/>
              </w:rPr>
            </w:pPr>
          </w:p>
        </w:tc>
        <w:tc>
          <w:tcPr>
            <w:tcW w:w="1948" w:type="pct"/>
            <w:tcBorders>
              <w:top w:val="nil"/>
              <w:left w:val="nil"/>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Tecnológica</w:t>
            </w:r>
          </w:p>
        </w:tc>
        <w:tc>
          <w:tcPr>
            <w:tcW w:w="2454" w:type="pct"/>
            <w:tcBorders>
              <w:top w:val="nil"/>
              <w:left w:val="nil"/>
              <w:bottom w:val="single" w:sz="4" w:space="0" w:color="auto"/>
              <w:right w:val="single" w:sz="4" w:space="0" w:color="auto"/>
            </w:tcBorders>
            <w:vAlign w:val="center"/>
          </w:tcPr>
          <w:p w:rsidR="002D07C8" w:rsidRPr="002D7C6A" w:rsidRDefault="002D07C8" w:rsidP="002E272D">
            <w:pPr>
              <w:jc w:val="both"/>
              <w:rPr>
                <w:color w:val="000000"/>
              </w:rPr>
            </w:pPr>
            <w:r w:rsidRPr="002D7C6A">
              <w:rPr>
                <w:color w:val="000000"/>
                <w:sz w:val="22"/>
                <w:szCs w:val="22"/>
              </w:rPr>
              <w:t>Impacto da especialização flexível da tecnologi</w:t>
            </w:r>
            <w:r>
              <w:rPr>
                <w:color w:val="000000"/>
                <w:sz w:val="22"/>
                <w:szCs w:val="22"/>
              </w:rPr>
              <w:t>a micro</w:t>
            </w:r>
            <w:r w:rsidRPr="002D7C6A">
              <w:rPr>
                <w:color w:val="000000"/>
                <w:sz w:val="22"/>
                <w:szCs w:val="22"/>
              </w:rPr>
              <w:t>eletrônica no processo produtivo.</w:t>
            </w:r>
          </w:p>
        </w:tc>
      </w:tr>
      <w:tr w:rsidR="002D07C8" w:rsidRPr="002D7C6A" w:rsidTr="002E272D">
        <w:trPr>
          <w:trHeight w:val="900"/>
        </w:trPr>
        <w:tc>
          <w:tcPr>
            <w:tcW w:w="598" w:type="pct"/>
            <w:vMerge/>
            <w:tcBorders>
              <w:top w:val="nil"/>
              <w:left w:val="single" w:sz="8" w:space="0" w:color="auto"/>
              <w:bottom w:val="single" w:sz="8" w:space="0" w:color="000000"/>
              <w:right w:val="single" w:sz="4" w:space="0" w:color="auto"/>
            </w:tcBorders>
            <w:vAlign w:val="center"/>
          </w:tcPr>
          <w:p w:rsidR="002D07C8" w:rsidRPr="002D7C6A" w:rsidRDefault="002D07C8" w:rsidP="002E272D">
            <w:pPr>
              <w:rPr>
                <w:color w:val="000000"/>
              </w:rPr>
            </w:pPr>
          </w:p>
        </w:tc>
        <w:tc>
          <w:tcPr>
            <w:tcW w:w="1948" w:type="pct"/>
            <w:tcBorders>
              <w:top w:val="nil"/>
              <w:left w:val="nil"/>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Ideológica</w:t>
            </w:r>
          </w:p>
        </w:tc>
        <w:tc>
          <w:tcPr>
            <w:tcW w:w="2454" w:type="pct"/>
            <w:tcBorders>
              <w:top w:val="nil"/>
              <w:left w:val="nil"/>
              <w:bottom w:val="single" w:sz="4" w:space="0" w:color="auto"/>
              <w:right w:val="single" w:sz="4" w:space="0" w:color="auto"/>
            </w:tcBorders>
            <w:vAlign w:val="center"/>
          </w:tcPr>
          <w:p w:rsidR="002D07C8" w:rsidRPr="00F9742C" w:rsidRDefault="002D07C8" w:rsidP="002E272D">
            <w:pPr>
              <w:jc w:val="both"/>
              <w:rPr>
                <w:color w:val="000000"/>
              </w:rPr>
            </w:pPr>
            <w:r w:rsidRPr="002D7C6A">
              <w:rPr>
                <w:color w:val="000000"/>
                <w:sz w:val="22"/>
                <w:szCs w:val="22"/>
              </w:rPr>
              <w:t>A luta entre a social-democracia e o controle hegemônico da agenda do discurso político.</w:t>
            </w:r>
            <w:r w:rsidRPr="002D7C6A">
              <w:rPr>
                <w:i/>
                <w:color w:val="000000"/>
                <w:sz w:val="22"/>
                <w:szCs w:val="22"/>
              </w:rPr>
              <w:t>“</w:t>
            </w:r>
            <w:r w:rsidRPr="00F9742C">
              <w:rPr>
                <w:i/>
                <w:color w:val="000000"/>
                <w:sz w:val="22"/>
                <w:szCs w:val="22"/>
              </w:rPr>
              <w:t>The emergence of competition state”</w:t>
            </w:r>
          </w:p>
        </w:tc>
      </w:tr>
      <w:tr w:rsidR="002D07C8" w:rsidRPr="002D7C6A" w:rsidTr="002E272D">
        <w:trPr>
          <w:trHeight w:val="1515"/>
        </w:trPr>
        <w:tc>
          <w:tcPr>
            <w:tcW w:w="598" w:type="pct"/>
            <w:vMerge/>
            <w:tcBorders>
              <w:top w:val="nil"/>
              <w:left w:val="single" w:sz="8" w:space="0" w:color="auto"/>
              <w:bottom w:val="single" w:sz="8" w:space="0" w:color="000000"/>
              <w:right w:val="single" w:sz="4" w:space="0" w:color="auto"/>
            </w:tcBorders>
            <w:vAlign w:val="center"/>
          </w:tcPr>
          <w:p w:rsidR="002D07C8" w:rsidRPr="00F9742C" w:rsidRDefault="002D07C8" w:rsidP="002E272D">
            <w:pPr>
              <w:rPr>
                <w:color w:val="000000"/>
              </w:rPr>
            </w:pPr>
          </w:p>
        </w:tc>
        <w:tc>
          <w:tcPr>
            <w:tcW w:w="1948" w:type="pct"/>
            <w:tcBorders>
              <w:top w:val="nil"/>
              <w:left w:val="nil"/>
              <w:bottom w:val="single" w:sz="4" w:space="0" w:color="auto"/>
              <w:right w:val="single" w:sz="4" w:space="0" w:color="auto"/>
            </w:tcBorders>
            <w:noWrap/>
            <w:vAlign w:val="center"/>
          </w:tcPr>
          <w:p w:rsidR="002D07C8" w:rsidRPr="007D4470" w:rsidRDefault="002D07C8" w:rsidP="002E272D">
            <w:pPr>
              <w:jc w:val="center"/>
              <w:rPr>
                <w:color w:val="000000"/>
              </w:rPr>
            </w:pPr>
            <w:r w:rsidRPr="007D4470">
              <w:rPr>
                <w:color w:val="000000"/>
                <w:sz w:val="22"/>
                <w:szCs w:val="22"/>
              </w:rPr>
              <w:t>Institucional</w:t>
            </w:r>
          </w:p>
        </w:tc>
        <w:tc>
          <w:tcPr>
            <w:tcW w:w="2454" w:type="pct"/>
            <w:tcBorders>
              <w:top w:val="nil"/>
              <w:left w:val="nil"/>
              <w:bottom w:val="single" w:sz="4" w:space="0" w:color="auto"/>
              <w:right w:val="single" w:sz="4" w:space="0" w:color="auto"/>
            </w:tcBorders>
            <w:vAlign w:val="center"/>
          </w:tcPr>
          <w:p w:rsidR="002D07C8" w:rsidRPr="002D7C6A" w:rsidRDefault="002D07C8" w:rsidP="002E272D">
            <w:pPr>
              <w:keepNext/>
              <w:jc w:val="both"/>
              <w:rPr>
                <w:color w:val="000000"/>
              </w:rPr>
            </w:pPr>
            <w:r w:rsidRPr="002D7C6A">
              <w:rPr>
                <w:color w:val="000000"/>
                <w:sz w:val="22"/>
                <w:szCs w:val="22"/>
              </w:rPr>
              <w:t>O desenvolvimento de novas formas de governa</w:t>
            </w:r>
            <w:r>
              <w:rPr>
                <w:color w:val="000000"/>
                <w:sz w:val="22"/>
                <w:szCs w:val="22"/>
              </w:rPr>
              <w:t>n</w:t>
            </w:r>
            <w:r w:rsidRPr="002D7C6A">
              <w:rPr>
                <w:color w:val="000000"/>
                <w:sz w:val="22"/>
                <w:szCs w:val="22"/>
              </w:rPr>
              <w:t>ç</w:t>
            </w:r>
            <w:r>
              <w:rPr>
                <w:color w:val="000000"/>
                <w:sz w:val="22"/>
                <w:szCs w:val="22"/>
              </w:rPr>
              <w:t>a</w:t>
            </w:r>
            <w:r w:rsidRPr="002D7C6A">
              <w:rPr>
                <w:color w:val="000000"/>
                <w:sz w:val="22"/>
                <w:szCs w:val="22"/>
              </w:rPr>
              <w:t xml:space="preserve"> como consequência do</w:t>
            </w:r>
            <w:r w:rsidR="000760B9">
              <w:rPr>
                <w:color w:val="000000"/>
                <w:sz w:val="22"/>
                <w:szCs w:val="22"/>
              </w:rPr>
              <w:t xml:space="preserve"> </w:t>
            </w:r>
            <w:r w:rsidRPr="002D7C6A">
              <w:rPr>
                <w:i/>
                <w:color w:val="000000"/>
                <w:sz w:val="22"/>
                <w:szCs w:val="22"/>
              </w:rPr>
              <w:t>hollowing out of state</w:t>
            </w:r>
            <w:r w:rsidRPr="002D7C6A">
              <w:rPr>
                <w:color w:val="000000"/>
                <w:sz w:val="22"/>
                <w:szCs w:val="22"/>
              </w:rPr>
              <w:t xml:space="preserve"> (por exemplo, os regimes urbanos), a adesão à UE e o seu desafio à soberania dos Estados, be</w:t>
            </w:r>
            <w:r>
              <w:rPr>
                <w:color w:val="000000"/>
                <w:sz w:val="22"/>
                <w:szCs w:val="22"/>
              </w:rPr>
              <w:t>m como a obrigação dos tratados.</w:t>
            </w:r>
          </w:p>
        </w:tc>
      </w:tr>
    </w:tbl>
    <w:p w:rsidR="002D07C8" w:rsidRPr="00801A7A" w:rsidRDefault="0072441F" w:rsidP="002D07C8">
      <w:pPr>
        <w:pStyle w:val="Legenda"/>
        <w:jc w:val="center"/>
        <w:rPr>
          <w:b w:val="0"/>
          <w:color w:val="auto"/>
          <w:sz w:val="24"/>
          <w:szCs w:val="24"/>
          <w:lang w:eastAsia="en-US"/>
        </w:rPr>
      </w:pPr>
      <w:r>
        <w:rPr>
          <w:b w:val="0"/>
          <w:color w:val="auto"/>
        </w:rPr>
        <w:t xml:space="preserve">Traduzido </w:t>
      </w:r>
      <w:r w:rsidR="002D07C8" w:rsidRPr="00801A7A">
        <w:rPr>
          <w:b w:val="0"/>
          <w:color w:val="auto"/>
        </w:rPr>
        <w:t>pelo aut</w:t>
      </w:r>
      <w:r w:rsidR="002D07C8">
        <w:rPr>
          <w:b w:val="0"/>
          <w:color w:val="auto"/>
        </w:rPr>
        <w:t xml:space="preserve">or. Fonte: </w:t>
      </w:r>
      <w:r w:rsidR="002D07C8" w:rsidRPr="00801A7A">
        <w:rPr>
          <w:b w:val="0"/>
          <w:color w:val="auto"/>
        </w:rPr>
        <w:t>Evans e Davies (1999)</w:t>
      </w:r>
      <w:r w:rsidR="002D07C8">
        <w:rPr>
          <w:b w:val="0"/>
          <w:color w:val="auto"/>
        </w:rPr>
        <w:t>.</w:t>
      </w:r>
    </w:p>
    <w:p w:rsidR="000E75A4" w:rsidRPr="000E75A4" w:rsidRDefault="000E75A4" w:rsidP="000E75A4">
      <w:pPr>
        <w:spacing w:line="360" w:lineRule="auto"/>
        <w:jc w:val="both"/>
        <w:rPr>
          <w:b/>
        </w:rPr>
      </w:pPr>
      <w:r>
        <w:rPr>
          <w:b/>
        </w:rPr>
        <w:t xml:space="preserve">1.4 </w:t>
      </w:r>
      <w:r w:rsidRPr="000E75A4">
        <w:rPr>
          <w:b/>
        </w:rPr>
        <w:t>Conclusão Parcial</w:t>
      </w:r>
    </w:p>
    <w:p w:rsidR="00D923CE" w:rsidRPr="00D923CE" w:rsidRDefault="00D923CE" w:rsidP="00D923CE">
      <w:pPr>
        <w:spacing w:line="360" w:lineRule="auto"/>
        <w:ind w:firstLine="708"/>
        <w:jc w:val="both"/>
      </w:pPr>
      <w:r w:rsidRPr="00D923CE">
        <w:t>O capítulo teve por objetivo estabelecer o debate acerca das principais contribuições para o debate teórico sobre a transferência de políticas públicas tendo como marco o trabalho de</w:t>
      </w:r>
      <w:r w:rsidR="001B3C7C">
        <w:t xml:space="preserve"> Dolowitz e Marsh (1996; 2000) onde o</w:t>
      </w:r>
      <w:r w:rsidRPr="00D923CE">
        <w:t xml:space="preserve"> modelo </w:t>
      </w:r>
      <w:r w:rsidR="006E5E58">
        <w:t xml:space="preserve">proposto pelos autores </w:t>
      </w:r>
      <w:r w:rsidRPr="00D923CE">
        <w:t>é obtido como resultante da apreciação crítica dos trabalhos de Rose (1991)e Bennett (1991) (DOLOWITZ &amp; MARSH, 2000: 8).</w:t>
      </w:r>
      <w:r w:rsidR="006E5E58">
        <w:t xml:space="preserve">Com respeito ao trabalho </w:t>
      </w:r>
      <w:r w:rsidR="006E5E58">
        <w:lastRenderedPageBreak/>
        <w:t xml:space="preserve">dos pesquisadores, </w:t>
      </w:r>
      <w:r w:rsidRPr="00D923CE">
        <w:t xml:space="preserve">Evans e Davies (1999) consideram que “Dolowitz e Marsh fizeram um grande serviço na organização de uma literatura fragmentada em um todo coerente e sugerindo sua própria interpretação” (EVANS E DAVIES, 1999. Tradução nossa). Dessa forma, cabe apontar que a literatura sobre transferência de políticas públicas reconhece a contribuição representada pelo trabalho daqueles autores como um marco em que tanto as releituras como as críticas iriam convergir. </w:t>
      </w:r>
      <w:r w:rsidR="006E5E58">
        <w:t>A primeira seção do capítulo teve por objetivo expor essa contribuição.</w:t>
      </w:r>
    </w:p>
    <w:p w:rsidR="006E5E58" w:rsidRDefault="006E5E58" w:rsidP="00D923CE">
      <w:pPr>
        <w:spacing w:line="360" w:lineRule="auto"/>
        <w:ind w:firstLine="708"/>
        <w:jc w:val="both"/>
      </w:pPr>
      <w:r>
        <w:t>Observamos na segunda seção as distinções e as características básicas do debate entre Difusão e Transferência de Políticas ao entender que, por investigarem processos similares de “</w:t>
      </w:r>
      <w:r w:rsidRPr="00D43DB9">
        <w:t>aprendizado de políticas, arranjos administrativos, instituições etc</w:t>
      </w:r>
      <w:r>
        <w:t>,</w:t>
      </w:r>
      <w:r w:rsidRPr="00D43DB9">
        <w:t xml:space="preserve"> em um tempo e/ou lugar</w:t>
      </w:r>
      <w:r>
        <w:t xml:space="preserve">” para o seu desenvolvimento em um outro tempo e lugar, haveria uma necessidade de estabelecer os limites, capacidades e agenda de pesquisa de cada abordagem. </w:t>
      </w:r>
    </w:p>
    <w:p w:rsidR="005E16F6" w:rsidRDefault="006E5E58" w:rsidP="00D923CE">
      <w:pPr>
        <w:spacing w:line="360" w:lineRule="auto"/>
        <w:ind w:firstLine="708"/>
        <w:jc w:val="both"/>
      </w:pPr>
      <w:r>
        <w:t xml:space="preserve">Na terceira seção dedicamos atenção ao </w:t>
      </w:r>
      <w:r w:rsidR="00127BC0">
        <w:t xml:space="preserve">debate da multidimensionalidade </w:t>
      </w:r>
      <w:r>
        <w:t xml:space="preserve">do fenômeno da Transferência de Políticas Públicas. Nesse ponto, ainda que reconheçam o papel dos trabalhos seminais – de </w:t>
      </w:r>
      <w:r w:rsidRPr="00D923CE">
        <w:t>Dolowitz e Marsh</w:t>
      </w:r>
      <w:r>
        <w:t xml:space="preserve"> – e caminhando na trilha aberta por esses autores, </w:t>
      </w:r>
      <w:r w:rsidRPr="00D923CE">
        <w:t>Evans e Davies (1999)</w:t>
      </w:r>
      <w:r>
        <w:t xml:space="preserve"> propõe um modelo de análise que procura observar os níveis Macro Micro – do fenômeno onde o conceito de Transferência de Políticas atuaria como o integrador das duas perspectivas. Ademais, identificam uma série de variáveis no âmbito da estrutura (doméstica – internacional) assim como estabelecem uma série de etapas – guias pelas quais a transferência ocorre no nível do processo (micro).</w:t>
      </w:r>
      <w:r w:rsidR="005E16F6">
        <w:t xml:space="preserve"> </w:t>
      </w:r>
    </w:p>
    <w:p w:rsidR="006E5E58" w:rsidRDefault="006E5E58" w:rsidP="00D923CE">
      <w:pPr>
        <w:spacing w:line="360" w:lineRule="auto"/>
        <w:ind w:firstLine="708"/>
        <w:jc w:val="both"/>
      </w:pPr>
      <w:r>
        <w:t xml:space="preserve">Cabe ressaltar que, a presente dissertação </w:t>
      </w:r>
      <w:r w:rsidR="00D42887">
        <w:t>tem como variável de observação a dimensão político - institucional doméstica para a análise da transferência da Unidade de Pronto Atendimento (UPA 24H – RJ) ainda que reconheça a necessidade de que seja observada os demais níveis do processo. Nesse ponto, entendemos que a contribuição tem por objetivo estabelecer uma agenda pela qual seja possível aprofundar e observar o caso a partir de perspectivas integrativas.</w:t>
      </w:r>
    </w:p>
    <w:p w:rsidR="002D07C8" w:rsidRPr="00D42887" w:rsidRDefault="00D42887" w:rsidP="00D42887">
      <w:pPr>
        <w:spacing w:line="360" w:lineRule="auto"/>
        <w:jc w:val="both"/>
      </w:pPr>
      <w:r>
        <w:rPr>
          <w:b/>
        </w:rPr>
        <w:tab/>
      </w:r>
      <w:r w:rsidRPr="00D42887">
        <w:t>No pr</w:t>
      </w:r>
      <w:r>
        <w:t xml:space="preserve">óximo capítulo exploramos a dimensão político – institucional doméstica por meio do debate entre federalismo e relações internacionais tomando como parâmetro de análise o conceito de “racionalização da política exterior”. Dessa maneira, procuraremos observar três dimensões do debate, a saber, o da autonomia, o da cooperação e a coordenação entre os entes federados e o governo central em termos de compatibilização da agenda internacional do país. Argumentamos que uma </w:t>
      </w:r>
      <w:r>
        <w:lastRenderedPageBreak/>
        <w:t xml:space="preserve">“segmentação cooperativa” entre as atividades desses distintos níveis de governo contribui para a formação da “rede internacional” que se estabelece para a transferência da UPA 24H – RJ.  </w:t>
      </w:r>
    </w:p>
    <w:p w:rsidR="003E0A4C" w:rsidRDefault="003E0A4C"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5E16F6" w:rsidRDefault="005E16F6" w:rsidP="002D07C8">
      <w:pPr>
        <w:jc w:val="both"/>
        <w:rPr>
          <w:b/>
        </w:rPr>
      </w:pPr>
    </w:p>
    <w:p w:rsidR="002D07C8" w:rsidRDefault="002D07C8" w:rsidP="002D07C8">
      <w:pPr>
        <w:jc w:val="both"/>
        <w:rPr>
          <w:b/>
          <w:bCs/>
          <w:color w:val="000000"/>
        </w:rPr>
      </w:pPr>
      <w:r>
        <w:rPr>
          <w:b/>
        </w:rPr>
        <w:lastRenderedPageBreak/>
        <w:t>CAPÍTULO 2. O FEDERALISMO, A AÇÃO INTERNACIONAL DAS UNIDADES SUBNACIONAIS E SEUS IMPACTOS PARA A TRANSFERÊNCIA DE POLÍTICAS PÚBLICAS</w:t>
      </w:r>
    </w:p>
    <w:p w:rsidR="00E3215C" w:rsidRDefault="00E3215C" w:rsidP="00A81EFF">
      <w:pPr>
        <w:spacing w:line="360" w:lineRule="auto"/>
        <w:ind w:firstLine="708"/>
        <w:jc w:val="both"/>
        <w:rPr>
          <w:bCs/>
          <w:color w:val="000000"/>
        </w:rPr>
      </w:pPr>
    </w:p>
    <w:p w:rsidR="00DF4351" w:rsidRDefault="00DF4351" w:rsidP="00A81EFF">
      <w:pPr>
        <w:spacing w:line="360" w:lineRule="auto"/>
        <w:ind w:firstLine="708"/>
        <w:jc w:val="both"/>
        <w:rPr>
          <w:i/>
        </w:rPr>
      </w:pPr>
      <w:r>
        <w:rPr>
          <w:bCs/>
          <w:color w:val="000000"/>
        </w:rPr>
        <w:t xml:space="preserve">O objetivo deste capítulo é estabelecer indicadores </w:t>
      </w:r>
      <w:r w:rsidR="00253B65">
        <w:rPr>
          <w:bCs/>
          <w:color w:val="000000"/>
        </w:rPr>
        <w:t xml:space="preserve">para no próximo capítulo aplica – los </w:t>
      </w:r>
      <w:r>
        <w:rPr>
          <w:bCs/>
          <w:color w:val="000000"/>
        </w:rPr>
        <w:t xml:space="preserve">para a análise da </w:t>
      </w:r>
      <w:r w:rsidRPr="00E3215C">
        <w:rPr>
          <w:bCs/>
          <w:i/>
          <w:color w:val="000000"/>
        </w:rPr>
        <w:t>“racionalização da política exterior</w:t>
      </w:r>
      <w:r w:rsidR="00E3215C" w:rsidRPr="00E3215C">
        <w:rPr>
          <w:bCs/>
          <w:i/>
          <w:color w:val="000000"/>
        </w:rPr>
        <w:t>”</w:t>
      </w:r>
      <w:r>
        <w:rPr>
          <w:bCs/>
          <w:color w:val="000000"/>
        </w:rPr>
        <w:t xml:space="preserve"> como elemento político – institucional doméstico na transferência da Unidade de Pronto Atendi</w:t>
      </w:r>
      <w:r w:rsidR="00253B65">
        <w:rPr>
          <w:bCs/>
          <w:color w:val="000000"/>
        </w:rPr>
        <w:t xml:space="preserve">mento (UPA 24H – RJ). Adotamos </w:t>
      </w:r>
      <w:r>
        <w:rPr>
          <w:bCs/>
          <w:color w:val="000000"/>
        </w:rPr>
        <w:t>o conceito de Soldatos</w:t>
      </w:r>
      <w:r w:rsidR="00A66A69">
        <w:rPr>
          <w:bCs/>
          <w:color w:val="000000"/>
        </w:rPr>
        <w:t xml:space="preserve"> (1990)</w:t>
      </w:r>
      <w:r>
        <w:rPr>
          <w:bCs/>
          <w:color w:val="000000"/>
        </w:rPr>
        <w:t xml:space="preserve"> </w:t>
      </w:r>
      <w:r w:rsidR="00253B65">
        <w:rPr>
          <w:bCs/>
          <w:color w:val="000000"/>
        </w:rPr>
        <w:t xml:space="preserve">que defende que </w:t>
      </w:r>
      <w:r>
        <w:rPr>
          <w:bCs/>
          <w:color w:val="000000"/>
        </w:rPr>
        <w:t>a “racionalização da política exterior”</w:t>
      </w:r>
      <w:r w:rsidR="00253B65">
        <w:rPr>
          <w:bCs/>
          <w:color w:val="000000"/>
        </w:rPr>
        <w:t xml:space="preserve"> </w:t>
      </w:r>
      <w:r>
        <w:rPr>
          <w:bCs/>
          <w:color w:val="000000"/>
        </w:rPr>
        <w:t>se refere ao fato dos “governos federais aceitarem ou mesmo conceberem o papel das unidades federadas como complementares (coordenadas, conjuntas ou monitoradas) aos seus objetivos”</w:t>
      </w:r>
      <w:r w:rsidR="00253B65">
        <w:rPr>
          <w:bCs/>
          <w:color w:val="000000"/>
        </w:rPr>
        <w:t xml:space="preserve"> em termos de relações internacionais</w:t>
      </w:r>
      <w:r w:rsidR="005E16F6">
        <w:rPr>
          <w:bCs/>
          <w:color w:val="000000"/>
        </w:rPr>
        <w:t xml:space="preserve"> </w:t>
      </w:r>
      <w:r w:rsidRPr="00E3215C">
        <w:t>(SOLDATOS, 1990)</w:t>
      </w:r>
      <w:r w:rsidR="00E3215C">
        <w:t xml:space="preserve">. </w:t>
      </w:r>
    </w:p>
    <w:p w:rsidR="00E3215C" w:rsidRDefault="00E3215C" w:rsidP="002D07C8">
      <w:pPr>
        <w:spacing w:line="360" w:lineRule="auto"/>
        <w:ind w:firstLine="708"/>
        <w:jc w:val="both"/>
      </w:pPr>
      <w:r>
        <w:t>Sendo assim, a pergunta que orienta o capítulo pode ser formulada da seguinte forma: há uma racionalização da política exterior na Argentina e no Brasil durante o período em que a experiência da UPA 24H – RJ foi transplantada</w:t>
      </w:r>
      <w:r w:rsidR="0075305B" w:rsidRPr="0075305B">
        <w:rPr>
          <w:color w:val="545454"/>
          <w:shd w:val="clear" w:color="auto" w:fill="FFFFFF"/>
        </w:rPr>
        <w:t>?</w:t>
      </w:r>
      <w:r>
        <w:t xml:space="preserve"> Em caso, afirmativo qual o papel exercido pela Província de Buenos Aires e o Estado do Rio de Janeiro nesse processo</w:t>
      </w:r>
      <w:r w:rsidR="0075305B" w:rsidRPr="0075305B">
        <w:rPr>
          <w:color w:val="545454"/>
          <w:shd w:val="clear" w:color="auto" w:fill="FFFFFF"/>
        </w:rPr>
        <w:t>?</w:t>
      </w:r>
    </w:p>
    <w:p w:rsidR="00552B5D" w:rsidRDefault="00E3215C" w:rsidP="00552B5D">
      <w:pPr>
        <w:spacing w:line="360" w:lineRule="auto"/>
        <w:ind w:firstLine="708"/>
        <w:jc w:val="both"/>
      </w:pPr>
      <w:r>
        <w:t xml:space="preserve">Dessa forma, </w:t>
      </w:r>
      <w:r w:rsidR="00253B65">
        <w:t xml:space="preserve">destacadamente </w:t>
      </w:r>
      <w:r>
        <w:t xml:space="preserve">nos </w:t>
      </w:r>
      <w:r w:rsidR="002D07C8">
        <w:t>dedica</w:t>
      </w:r>
      <w:r>
        <w:t>mos</w:t>
      </w:r>
      <w:r w:rsidR="00552B5D">
        <w:t xml:space="preserve"> </w:t>
      </w:r>
      <w:r w:rsidR="00E74AC6">
        <w:t>a</w:t>
      </w:r>
      <w:r w:rsidR="002D07C8">
        <w:t xml:space="preserve"> observar o diálogo entre as </w:t>
      </w:r>
      <w:r w:rsidR="00005480">
        <w:t>R</w:t>
      </w:r>
      <w:r w:rsidR="002D07C8">
        <w:t xml:space="preserve">elações </w:t>
      </w:r>
      <w:r w:rsidR="00005480">
        <w:t>I</w:t>
      </w:r>
      <w:r w:rsidR="002D07C8">
        <w:t xml:space="preserve">nternacionais e </w:t>
      </w:r>
      <w:r w:rsidR="00005480">
        <w:t>o F</w:t>
      </w:r>
      <w:r w:rsidR="002D07C8">
        <w:t xml:space="preserve">ederalismo </w:t>
      </w:r>
      <w:r w:rsidR="00253B65">
        <w:t>n</w:t>
      </w:r>
      <w:r w:rsidR="002D07C8">
        <w:t>esses países</w:t>
      </w:r>
      <w:r>
        <w:t xml:space="preserve"> aos considerar</w:t>
      </w:r>
      <w:r w:rsidR="00253B65">
        <w:t>ando</w:t>
      </w:r>
      <w:r>
        <w:t xml:space="preserve"> </w:t>
      </w:r>
      <w:r w:rsidR="002D07C8">
        <w:t>três dimensões d</w:t>
      </w:r>
      <w:r>
        <w:t xml:space="preserve">a descentralização do poder no sistema </w:t>
      </w:r>
      <w:r w:rsidR="002D07C8">
        <w:t>federal</w:t>
      </w:r>
      <w:r w:rsidR="00253B65">
        <w:t>:</w:t>
      </w:r>
      <w:r w:rsidR="002D07C8">
        <w:t xml:space="preserve"> i) autonomia, ii) coordenação e iii) cooperação. </w:t>
      </w:r>
      <w:r>
        <w:t>Para essa finalidade</w:t>
      </w:r>
      <w:r w:rsidR="00253B65">
        <w:t xml:space="preserve">, para cada dimensão, o capítulo </w:t>
      </w:r>
      <w:r w:rsidR="002D07C8">
        <w:t xml:space="preserve">estabelece indicadores que possam </w:t>
      </w:r>
      <w:r w:rsidR="00253B65">
        <w:t xml:space="preserve">viabilizar o </w:t>
      </w:r>
      <w:r w:rsidR="002D07C8">
        <w:t>test</w:t>
      </w:r>
      <w:r w:rsidR="00253B65">
        <w:t>e</w:t>
      </w:r>
      <w:r w:rsidR="002D07C8">
        <w:t xml:space="preserve"> </w:t>
      </w:r>
      <w:r w:rsidR="00253B65">
        <w:t>empírico d</w:t>
      </w:r>
      <w:r>
        <w:t>o conceito de racionalização</w:t>
      </w:r>
      <w:r w:rsidR="002D07C8">
        <w:t xml:space="preserve">. </w:t>
      </w:r>
    </w:p>
    <w:p w:rsidR="00552B5D" w:rsidRDefault="00552B5D" w:rsidP="00552B5D">
      <w:pPr>
        <w:spacing w:line="360" w:lineRule="auto"/>
        <w:ind w:firstLine="708"/>
        <w:jc w:val="both"/>
        <w:rPr>
          <w:i/>
        </w:rPr>
      </w:pPr>
      <w:r w:rsidRPr="00E3215C">
        <w:t>Nessa perspectiva</w:t>
      </w:r>
      <w:r>
        <w:t>,</w:t>
      </w:r>
      <w:r w:rsidRPr="00E3215C">
        <w:t xml:space="preserve"> </w:t>
      </w:r>
      <w:r w:rsidR="00253B65">
        <w:t xml:space="preserve">cabe reafirmar que </w:t>
      </w:r>
      <w:r w:rsidRPr="00E3215C">
        <w:t xml:space="preserve">hipótese </w:t>
      </w:r>
      <w:r w:rsidR="00253B65">
        <w:t xml:space="preserve">que orienta esse trabalho </w:t>
      </w:r>
      <w:r w:rsidRPr="00E3215C">
        <w:t xml:space="preserve">considera </w:t>
      </w:r>
      <w:r w:rsidR="00253B65">
        <w:t xml:space="preserve">que </w:t>
      </w:r>
      <w:r w:rsidRPr="00E3215C">
        <w:t xml:space="preserve">o processo de “racionalização (SOLDATOS, 1990) </w:t>
      </w:r>
      <w:r w:rsidR="00253B65">
        <w:t>(</w:t>
      </w:r>
      <w:r w:rsidRPr="00E3215C">
        <w:t>variável pol</w:t>
      </w:r>
      <w:r w:rsidR="00253B65">
        <w:t xml:space="preserve">ítico – institucional doméstica - </w:t>
      </w:r>
      <w:r w:rsidRPr="00E3215C">
        <w:t>endógena)</w:t>
      </w:r>
      <w:r>
        <w:t xml:space="preserve"> </w:t>
      </w:r>
      <w:r w:rsidRPr="00E3215C">
        <w:t>favoreceu a relação intergovernamental entre as unidades subnacionais e o governo central nos dois países ao</w:t>
      </w:r>
      <w:r>
        <w:t xml:space="preserve"> se</w:t>
      </w:r>
      <w:r w:rsidRPr="00E3215C">
        <w:t xml:space="preserve"> configurar como uma relação de </w:t>
      </w:r>
      <w:r w:rsidRPr="00E3215C">
        <w:rPr>
          <w:i/>
        </w:rPr>
        <w:t>segmentação cooperativa</w:t>
      </w:r>
      <w:r>
        <w:rPr>
          <w:i/>
        </w:rPr>
        <w:t xml:space="preserve"> </w:t>
      </w:r>
      <w:r>
        <w:t xml:space="preserve">em termos de relações internacionais. Dessa forma, essa convergência </w:t>
      </w:r>
      <w:r w:rsidRPr="00E3215C">
        <w:t>contribuiu para o diálogo entre a Província de Buenos Aires e o Estado do Rio de Janeiro</w:t>
      </w:r>
      <w:r>
        <w:t xml:space="preserve"> para o estabelecimento de canais de transferência de políticas públicas, destacadamente, a UPA 24H </w:t>
      </w:r>
      <w:r w:rsidR="006E500F">
        <w:t>–</w:t>
      </w:r>
      <w:r>
        <w:t xml:space="preserve"> RJ</w:t>
      </w:r>
      <w:r w:rsidR="006E500F">
        <w:t>.</w:t>
      </w:r>
      <w:r>
        <w:t xml:space="preserve"> </w:t>
      </w:r>
    </w:p>
    <w:p w:rsidR="002D07C8" w:rsidRDefault="007C3567" w:rsidP="002D07C8">
      <w:pPr>
        <w:spacing w:line="360" w:lineRule="auto"/>
        <w:ind w:firstLine="708"/>
        <w:jc w:val="both"/>
      </w:pPr>
      <w:r>
        <w:t>Para tanto, o</w:t>
      </w:r>
      <w:r w:rsidR="002D07C8">
        <w:t xml:space="preserve"> capítulo </w:t>
      </w:r>
      <w:r w:rsidR="00A922AD">
        <w:t>está</w:t>
      </w:r>
      <w:r w:rsidR="002D07C8">
        <w:t xml:space="preserve"> estruturado da seguinte maneira: </w:t>
      </w:r>
      <w:r w:rsidR="002A79AD">
        <w:t xml:space="preserve">o </w:t>
      </w:r>
      <w:r w:rsidR="002D07C8">
        <w:t xml:space="preserve">primeiro tópico se dedica a apresentar o debate sobre Federalismo e Política Exterior. Procuramos nessa seção apontar a validade de adoção do conceito de “racionalização da política exterior” como condicionante doméstico da transferência. Em seguida serão apresentados os </w:t>
      </w:r>
      <w:r w:rsidR="002D07C8">
        <w:lastRenderedPageBreak/>
        <w:t xml:space="preserve">indicadores para cada dimensão de análise </w:t>
      </w:r>
      <w:r w:rsidR="009D16F8">
        <w:t xml:space="preserve">– a autonomia, a coordenação e a cooperação – </w:t>
      </w:r>
      <w:r w:rsidR="002D07C8">
        <w:t>considerando os argumentos para sua adoção, as estratégias de coleta</w:t>
      </w:r>
      <w:r w:rsidR="002A79AD">
        <w:t>,</w:t>
      </w:r>
      <w:r w:rsidR="002D07C8">
        <w:t xml:space="preserve"> bem como as categorias adotadas para a análise</w:t>
      </w:r>
      <w:r w:rsidR="009A2EEF">
        <w:t xml:space="preserve"> d</w:t>
      </w:r>
      <w:r w:rsidR="002D07C8">
        <w:t>os dados.</w:t>
      </w:r>
      <w:r w:rsidR="009A2EEF">
        <w:t xml:space="preserve"> Na última seção apresentamos os métodos de análise dos dados, de forma destacada, o Método Histórico Comparativo e a estra</w:t>
      </w:r>
      <w:r w:rsidR="00C325F3">
        <w:t xml:space="preserve">tégia de Mapeamento de Processo </w:t>
      </w:r>
      <w:r w:rsidR="00253B65">
        <w:t>b</w:t>
      </w:r>
      <w:r w:rsidR="00C325F3">
        <w:t>e</w:t>
      </w:r>
      <w:r w:rsidR="00253B65">
        <w:t>m como</w:t>
      </w:r>
      <w:r w:rsidR="00C325F3">
        <w:t xml:space="preserve"> seu diálogo com a hipótese do trabalho.</w:t>
      </w:r>
    </w:p>
    <w:p w:rsidR="00A922AD" w:rsidRDefault="00A922AD" w:rsidP="005B025F">
      <w:pPr>
        <w:ind w:firstLine="708"/>
        <w:jc w:val="both"/>
        <w:rPr>
          <w:bCs/>
          <w:color w:val="000000"/>
        </w:rPr>
      </w:pPr>
    </w:p>
    <w:p w:rsidR="002D07C8" w:rsidRDefault="00EE32F2" w:rsidP="002D07C8">
      <w:pPr>
        <w:spacing w:line="360" w:lineRule="auto"/>
        <w:jc w:val="both"/>
        <w:rPr>
          <w:b/>
          <w:bCs/>
          <w:color w:val="000000"/>
        </w:rPr>
      </w:pPr>
      <w:r>
        <w:rPr>
          <w:b/>
          <w:bCs/>
          <w:color w:val="000000"/>
        </w:rPr>
        <w:t xml:space="preserve">2.1 </w:t>
      </w:r>
      <w:r w:rsidR="002D07C8" w:rsidRPr="001E4C22">
        <w:rPr>
          <w:b/>
          <w:bCs/>
          <w:color w:val="000000"/>
        </w:rPr>
        <w:t>Federalismo e Política Exterior</w:t>
      </w:r>
      <w:r w:rsidR="002D07C8">
        <w:rPr>
          <w:b/>
          <w:bCs/>
          <w:color w:val="000000"/>
        </w:rPr>
        <w:t>:</w:t>
      </w:r>
      <w:r w:rsidR="006E500F">
        <w:rPr>
          <w:b/>
          <w:bCs/>
          <w:color w:val="000000"/>
        </w:rPr>
        <w:t xml:space="preserve"> </w:t>
      </w:r>
      <w:r w:rsidR="002D07C8">
        <w:rPr>
          <w:b/>
          <w:bCs/>
          <w:color w:val="000000"/>
        </w:rPr>
        <w:t>a “</w:t>
      </w:r>
      <w:r w:rsidR="002D07C8" w:rsidRPr="001E4C22">
        <w:rPr>
          <w:b/>
          <w:bCs/>
          <w:color w:val="000000"/>
        </w:rPr>
        <w:t>Raci</w:t>
      </w:r>
      <w:r w:rsidR="002D07C8">
        <w:rPr>
          <w:b/>
          <w:bCs/>
          <w:color w:val="000000"/>
        </w:rPr>
        <w:t>onalização da Política Externa”</w:t>
      </w:r>
    </w:p>
    <w:p w:rsidR="002D07C8" w:rsidRDefault="00641DB2" w:rsidP="002D07C8">
      <w:pPr>
        <w:spacing w:line="360" w:lineRule="auto"/>
        <w:ind w:firstLine="708"/>
        <w:jc w:val="both"/>
        <w:rPr>
          <w:color w:val="000000"/>
        </w:rPr>
      </w:pPr>
      <w:r>
        <w:rPr>
          <w:color w:val="000000"/>
        </w:rPr>
        <w:t xml:space="preserve">A literatura </w:t>
      </w:r>
      <w:r w:rsidR="002D07C8" w:rsidRPr="00D4646F">
        <w:rPr>
          <w:color w:val="000000"/>
        </w:rPr>
        <w:t>em torno do “p</w:t>
      </w:r>
      <w:r w:rsidR="002D07C8">
        <w:rPr>
          <w:color w:val="000000"/>
        </w:rPr>
        <w:t>r</w:t>
      </w:r>
      <w:r w:rsidR="002D07C8" w:rsidRPr="00D4646F">
        <w:rPr>
          <w:color w:val="000000"/>
        </w:rPr>
        <w:t xml:space="preserve">incípio federal” </w:t>
      </w:r>
      <w:r w:rsidR="002D07C8">
        <w:rPr>
          <w:color w:val="000000"/>
        </w:rPr>
        <w:t xml:space="preserve">destaca </w:t>
      </w:r>
      <w:r w:rsidR="002D07C8" w:rsidRPr="00D4646F">
        <w:rPr>
          <w:color w:val="000000"/>
        </w:rPr>
        <w:t xml:space="preserve">a </w:t>
      </w:r>
      <w:r w:rsidR="002D07C8" w:rsidRPr="004503A9">
        <w:rPr>
          <w:i/>
          <w:color w:val="000000"/>
        </w:rPr>
        <w:t>distribuição territorial de autoridade</w:t>
      </w:r>
      <w:r w:rsidR="002D07C8" w:rsidRPr="00D4646F">
        <w:rPr>
          <w:color w:val="000000"/>
        </w:rPr>
        <w:t xml:space="preserve"> </w:t>
      </w:r>
      <w:r w:rsidR="00840C4F">
        <w:rPr>
          <w:color w:val="000000"/>
        </w:rPr>
        <w:t>e considera</w:t>
      </w:r>
      <w:r w:rsidR="002D07C8" w:rsidRPr="00D4646F">
        <w:rPr>
          <w:color w:val="000000"/>
        </w:rPr>
        <w:t xml:space="preserve"> jurisdições com </w:t>
      </w:r>
      <w:r w:rsidR="002D07C8" w:rsidRPr="004503A9">
        <w:rPr>
          <w:i/>
          <w:color w:val="000000"/>
        </w:rPr>
        <w:t>autonomia</w:t>
      </w:r>
      <w:r w:rsidR="002D07C8" w:rsidRPr="00D4646F">
        <w:rPr>
          <w:color w:val="000000"/>
        </w:rPr>
        <w:t xml:space="preserve"> e </w:t>
      </w:r>
      <w:r w:rsidR="002D07C8" w:rsidRPr="004503A9">
        <w:rPr>
          <w:i/>
          <w:color w:val="000000"/>
        </w:rPr>
        <w:t>independência</w:t>
      </w:r>
      <w:r w:rsidR="002D07C8">
        <w:rPr>
          <w:color w:val="000000"/>
        </w:rPr>
        <w:t xml:space="preserve"> num ambiente de </w:t>
      </w:r>
      <w:r w:rsidR="002D07C8" w:rsidRPr="004503A9">
        <w:rPr>
          <w:i/>
          <w:color w:val="000000"/>
        </w:rPr>
        <w:t>ação coordenada</w:t>
      </w:r>
      <w:r w:rsidR="002D07C8">
        <w:rPr>
          <w:color w:val="000000"/>
        </w:rPr>
        <w:t xml:space="preserve"> como característica fundamental do sistema (SOUZA, 2008, WHEARE, 1947, </w:t>
      </w:r>
      <w:r w:rsidR="002D07C8" w:rsidRPr="00FD302C">
        <w:rPr>
          <w:color w:val="000000"/>
        </w:rPr>
        <w:t>LIJPHART</w:t>
      </w:r>
      <w:r w:rsidR="002D07C8">
        <w:rPr>
          <w:color w:val="000000"/>
        </w:rPr>
        <w:t>, 2003. Grifo nosso). Riker (1975</w:t>
      </w:r>
      <w:r w:rsidR="008E2185">
        <w:rPr>
          <w:color w:val="000000"/>
        </w:rPr>
        <w:t>: 76</w:t>
      </w:r>
      <w:r w:rsidR="002D07C8">
        <w:rPr>
          <w:color w:val="000000"/>
        </w:rPr>
        <w:t xml:space="preserve">) aponta o federalismo como </w:t>
      </w:r>
      <w:r w:rsidR="002D07C8" w:rsidRPr="00975C72">
        <w:rPr>
          <w:color w:val="000000"/>
        </w:rPr>
        <w:t xml:space="preserve">“uma organização política onde as atividades governamentais se dividem entre governos regionais e o governo central, de forma que cada tipo de governo tem certas atividades sobre as decisões finais”. </w:t>
      </w:r>
    </w:p>
    <w:p w:rsidR="002D07C8" w:rsidRPr="001E4C22" w:rsidRDefault="002D07C8" w:rsidP="002D07C8">
      <w:pPr>
        <w:spacing w:line="360" w:lineRule="auto"/>
        <w:ind w:firstLine="708"/>
        <w:jc w:val="both"/>
      </w:pPr>
      <w:r w:rsidRPr="0051281F">
        <w:rPr>
          <w:color w:val="000000"/>
        </w:rPr>
        <w:t xml:space="preserve">Já para </w:t>
      </w:r>
      <w:r w:rsidRPr="0051281F">
        <w:rPr>
          <w:bCs/>
          <w:iCs/>
          <w:color w:val="000000"/>
        </w:rPr>
        <w:t>Elazar (1991</w:t>
      </w:r>
      <w:r w:rsidR="005E16F6">
        <w:rPr>
          <w:bCs/>
          <w:iCs/>
          <w:color w:val="000000"/>
        </w:rPr>
        <w:t xml:space="preserve"> p. 5</w:t>
      </w:r>
      <w:r w:rsidRPr="0051281F">
        <w:rPr>
          <w:bCs/>
          <w:iCs/>
          <w:color w:val="000000"/>
        </w:rPr>
        <w:t>)</w:t>
      </w:r>
      <w:r w:rsidRPr="0051281F">
        <w:t xml:space="preserve"> “</w:t>
      </w:r>
      <w:r>
        <w:rPr>
          <w:color w:val="000000"/>
        </w:rPr>
        <w:t>o</w:t>
      </w:r>
      <w:r w:rsidRPr="0051281F">
        <w:rPr>
          <w:color w:val="000000"/>
        </w:rPr>
        <w:t xml:space="preserve"> termo federal é derivado do latim </w:t>
      </w:r>
      <w:r w:rsidRPr="00082A66">
        <w:rPr>
          <w:i/>
          <w:color w:val="000000"/>
        </w:rPr>
        <w:t>foedus,</w:t>
      </w:r>
      <w:r w:rsidRPr="0051281F">
        <w:rPr>
          <w:color w:val="000000"/>
        </w:rPr>
        <w:t xml:space="preserve"> o qual significa pacto. Em essência, um arranjo federal é uma parceria, estabelecida e regulada por um pacto, cujas conexões internas refletem um tipo especial de divisão de poder entre os parceiros”</w:t>
      </w:r>
      <w:r w:rsidR="005E16F6" w:rsidRPr="005E16F6">
        <w:t xml:space="preserve"> </w:t>
      </w:r>
      <w:r w:rsidR="005E16F6" w:rsidRPr="005E16F6">
        <w:rPr>
          <w:color w:val="000000"/>
        </w:rPr>
        <w:t>(ELAZAR, 1987, p. 5 apud ABRÚCIO e SANO, 2013, p. 15)</w:t>
      </w:r>
      <w:r w:rsidR="005E16F6">
        <w:rPr>
          <w:color w:val="000000"/>
        </w:rPr>
        <w:t xml:space="preserve">. </w:t>
      </w:r>
      <w:r>
        <w:rPr>
          <w:color w:val="000000"/>
        </w:rPr>
        <w:t xml:space="preserve">Por seu turno, </w:t>
      </w:r>
      <w:r w:rsidRPr="00FD302C">
        <w:rPr>
          <w:color w:val="000000"/>
        </w:rPr>
        <w:t>Burgess e Gagnon (1993) consideram que o federalismo é um princípio organizativo de forma que congrega um</w:t>
      </w:r>
      <w:r>
        <w:rPr>
          <w:color w:val="000000"/>
        </w:rPr>
        <w:t>a</w:t>
      </w:r>
      <w:r w:rsidRPr="00FD302C">
        <w:rPr>
          <w:color w:val="000000"/>
        </w:rPr>
        <w:t xml:space="preserve"> série de técnicas constitucionais, legais, políticas, financeiras, e administrativas no sentido de atuar no balanço entre independência mútua e interdependência.</w:t>
      </w:r>
      <w:r w:rsidR="009A2EEF">
        <w:rPr>
          <w:color w:val="000000"/>
        </w:rPr>
        <w:t xml:space="preserve"> </w:t>
      </w:r>
      <w:r>
        <w:t xml:space="preserve">Nesse sentido, cabe apontar que a </w:t>
      </w:r>
      <w:r w:rsidR="00641DB2">
        <w:t>ideia</w:t>
      </w:r>
      <w:r>
        <w:t xml:space="preserve"> de descentralização ocupa espaço destacado na teoria do federalismo. Dessa forma, a investigação do fenômeno passa </w:t>
      </w:r>
      <w:r w:rsidR="00641DB2">
        <w:t>necessariamente pela observação</w:t>
      </w:r>
      <w:r w:rsidR="009A2EEF">
        <w:t xml:space="preserve"> </w:t>
      </w:r>
      <w:r w:rsidR="00641DB2">
        <w:t>d</w:t>
      </w:r>
      <w:r>
        <w:t xml:space="preserve">o aspecto de distribuição do poder tanto em termos de relações verticais, o que quer dizer, a dinâmica entre o governo subnacional e o central, bem como o seu aspecto horizontal, dada a relação territoriais ou regionais. </w:t>
      </w:r>
    </w:p>
    <w:p w:rsidR="002D07C8" w:rsidRPr="003C11CF" w:rsidRDefault="002D07C8" w:rsidP="002D07C8">
      <w:pPr>
        <w:spacing w:line="360" w:lineRule="auto"/>
        <w:ind w:firstLine="708"/>
        <w:jc w:val="both"/>
        <w:rPr>
          <w:bCs/>
          <w:i/>
          <w:color w:val="000000"/>
        </w:rPr>
      </w:pPr>
      <w:r>
        <w:rPr>
          <w:bCs/>
          <w:color w:val="000000"/>
        </w:rPr>
        <w:t xml:space="preserve">Nesse contexto, a agenda de pesquisa sobre o federalismo </w:t>
      </w:r>
      <w:r w:rsidR="001864CB">
        <w:rPr>
          <w:bCs/>
          <w:color w:val="000000"/>
        </w:rPr>
        <w:t>no que diz respeito aos seus caracteres</w:t>
      </w:r>
      <w:r>
        <w:rPr>
          <w:bCs/>
          <w:color w:val="000000"/>
        </w:rPr>
        <w:t xml:space="preserve"> econômicos tem </w:t>
      </w:r>
      <w:r w:rsidR="001864CB">
        <w:rPr>
          <w:bCs/>
          <w:color w:val="000000"/>
        </w:rPr>
        <w:t xml:space="preserve">comumente </w:t>
      </w:r>
      <w:r>
        <w:rPr>
          <w:bCs/>
          <w:color w:val="000000"/>
        </w:rPr>
        <w:t>observado</w:t>
      </w:r>
      <w:r w:rsidR="008B2C64">
        <w:rPr>
          <w:bCs/>
          <w:color w:val="000000"/>
        </w:rPr>
        <w:t xml:space="preserve"> o</w:t>
      </w:r>
      <w:r>
        <w:rPr>
          <w:bCs/>
          <w:color w:val="000000"/>
        </w:rPr>
        <w:t xml:space="preserve"> aspecto fiscal na </w:t>
      </w:r>
      <w:r w:rsidR="008B2C64">
        <w:rPr>
          <w:bCs/>
          <w:color w:val="000000"/>
        </w:rPr>
        <w:t>dinâmica</w:t>
      </w:r>
      <w:r>
        <w:rPr>
          <w:bCs/>
          <w:color w:val="000000"/>
        </w:rPr>
        <w:t xml:space="preserve"> de repartição de recursos presente n</w:t>
      </w:r>
      <w:r w:rsidR="001864CB">
        <w:rPr>
          <w:bCs/>
          <w:color w:val="000000"/>
        </w:rPr>
        <w:t>o debate acerca d</w:t>
      </w:r>
      <w:r w:rsidR="008B2C64">
        <w:rPr>
          <w:bCs/>
          <w:color w:val="000000"/>
        </w:rPr>
        <w:t xml:space="preserve">a </w:t>
      </w:r>
      <w:r>
        <w:rPr>
          <w:bCs/>
          <w:color w:val="000000"/>
        </w:rPr>
        <w:t xml:space="preserve">descentralização do poder. Por sua vez, sob o ponto de vista da </w:t>
      </w:r>
      <w:r w:rsidR="008B2C64">
        <w:rPr>
          <w:bCs/>
          <w:color w:val="000000"/>
        </w:rPr>
        <w:t>C</w:t>
      </w:r>
      <w:r>
        <w:rPr>
          <w:bCs/>
          <w:color w:val="000000"/>
        </w:rPr>
        <w:t xml:space="preserve">iência </w:t>
      </w:r>
      <w:r w:rsidR="008B2C64">
        <w:rPr>
          <w:bCs/>
          <w:color w:val="000000"/>
        </w:rPr>
        <w:t>P</w:t>
      </w:r>
      <w:r>
        <w:rPr>
          <w:bCs/>
          <w:color w:val="000000"/>
        </w:rPr>
        <w:t>olítica a di</w:t>
      </w:r>
      <w:r w:rsidR="001344D9">
        <w:rPr>
          <w:bCs/>
          <w:color w:val="000000"/>
        </w:rPr>
        <w:t>n</w:t>
      </w:r>
      <w:r>
        <w:rPr>
          <w:bCs/>
          <w:color w:val="000000"/>
        </w:rPr>
        <w:t xml:space="preserve">âmica de centralização/descentralização política e da provisão de políticas públicas tem ganhado </w:t>
      </w:r>
      <w:r>
        <w:rPr>
          <w:bCs/>
          <w:color w:val="000000"/>
        </w:rPr>
        <w:lastRenderedPageBreak/>
        <w:t>destaque. Cabe apontar que</w:t>
      </w:r>
      <w:r w:rsidR="008B2C64">
        <w:rPr>
          <w:bCs/>
          <w:color w:val="000000"/>
        </w:rPr>
        <w:t xml:space="preserve"> n</w:t>
      </w:r>
      <w:r>
        <w:rPr>
          <w:bCs/>
          <w:color w:val="000000"/>
        </w:rPr>
        <w:t>esse último eixo ga</w:t>
      </w:r>
      <w:r w:rsidR="00EB72A7">
        <w:rPr>
          <w:bCs/>
          <w:color w:val="000000"/>
        </w:rPr>
        <w:t>n</w:t>
      </w:r>
      <w:r>
        <w:rPr>
          <w:bCs/>
          <w:color w:val="000000"/>
        </w:rPr>
        <w:t xml:space="preserve">ha importância o papel desempenhado pelas regras da política e </w:t>
      </w:r>
      <w:r w:rsidR="008B2C64">
        <w:rPr>
          <w:bCs/>
          <w:color w:val="000000"/>
        </w:rPr>
        <w:t>d</w:t>
      </w:r>
      <w:r>
        <w:rPr>
          <w:bCs/>
          <w:color w:val="000000"/>
        </w:rPr>
        <w:t xml:space="preserve">as relações intergovernamentais. </w:t>
      </w:r>
    </w:p>
    <w:p w:rsidR="006821CF" w:rsidRDefault="002D07C8" w:rsidP="002D07C8">
      <w:pPr>
        <w:spacing w:line="360" w:lineRule="auto"/>
        <w:ind w:firstLine="708"/>
        <w:jc w:val="both"/>
      </w:pPr>
      <w:r>
        <w:rPr>
          <w:bCs/>
          <w:color w:val="000000"/>
        </w:rPr>
        <w:t xml:space="preserve">Para </w:t>
      </w:r>
      <w:r w:rsidR="00E31EA7">
        <w:rPr>
          <w:bCs/>
          <w:color w:val="000000"/>
        </w:rPr>
        <w:t>a presente dissertação</w:t>
      </w:r>
      <w:r w:rsidR="002020B6">
        <w:rPr>
          <w:bCs/>
          <w:color w:val="000000"/>
        </w:rPr>
        <w:t>,</w:t>
      </w:r>
      <w:r w:rsidR="005E16F6">
        <w:rPr>
          <w:bCs/>
          <w:color w:val="000000"/>
        </w:rPr>
        <w:t xml:space="preserve"> </w:t>
      </w:r>
      <w:r>
        <w:rPr>
          <w:bCs/>
          <w:color w:val="000000"/>
        </w:rPr>
        <w:t xml:space="preserve">a importância do sistema federal </w:t>
      </w:r>
      <w:r w:rsidR="00D52085">
        <w:rPr>
          <w:bCs/>
          <w:color w:val="000000"/>
        </w:rPr>
        <w:t>está</w:t>
      </w:r>
      <w:r>
        <w:rPr>
          <w:bCs/>
          <w:color w:val="000000"/>
        </w:rPr>
        <w:t xml:space="preserve"> relacionad</w:t>
      </w:r>
      <w:r w:rsidR="00D52085">
        <w:rPr>
          <w:bCs/>
          <w:color w:val="000000"/>
        </w:rPr>
        <w:t>a</w:t>
      </w:r>
      <w:r>
        <w:rPr>
          <w:bCs/>
          <w:color w:val="000000"/>
        </w:rPr>
        <w:t xml:space="preserve"> a dimensão do debate em torno da descentralização do poder em termos de estabelecimento de relações internacionais pela</w:t>
      </w:r>
      <w:r w:rsidR="00D52085">
        <w:rPr>
          <w:bCs/>
          <w:color w:val="000000"/>
        </w:rPr>
        <w:t>s</w:t>
      </w:r>
      <w:r>
        <w:rPr>
          <w:bCs/>
          <w:color w:val="000000"/>
        </w:rPr>
        <w:t xml:space="preserve"> unidades subnacionais e seu impacto para a tran</w:t>
      </w:r>
      <w:r w:rsidR="00F72008">
        <w:rPr>
          <w:bCs/>
          <w:color w:val="000000"/>
        </w:rPr>
        <w:t>s</w:t>
      </w:r>
      <w:r>
        <w:rPr>
          <w:bCs/>
          <w:color w:val="000000"/>
        </w:rPr>
        <w:t xml:space="preserve">ferência internacional da Unidade de Pronto Atendimento (UPA). </w:t>
      </w:r>
      <w:r w:rsidR="006821CF">
        <w:rPr>
          <w:bCs/>
          <w:color w:val="000000"/>
        </w:rPr>
        <w:t>P</w:t>
      </w:r>
      <w:r>
        <w:rPr>
          <w:bCs/>
          <w:color w:val="000000"/>
        </w:rPr>
        <w:t xml:space="preserve">ortanto, nosso foco recai sobre o </w:t>
      </w:r>
      <w:r>
        <w:t>“fenômeno das muitas vozes nas relações exteriores” (SOLDATOS, 1990, p. 34)</w:t>
      </w:r>
      <w:r w:rsidR="005B025F">
        <w:t>.</w:t>
      </w:r>
    </w:p>
    <w:p w:rsidR="002D07C8" w:rsidRPr="002020B6" w:rsidRDefault="005B025F" w:rsidP="002020B6">
      <w:pPr>
        <w:spacing w:line="360" w:lineRule="auto"/>
        <w:ind w:firstLine="708"/>
        <w:jc w:val="both"/>
      </w:pPr>
      <w:r>
        <w:t xml:space="preserve">Nesse sentido, ao </w:t>
      </w:r>
      <w:r w:rsidR="002020B6">
        <w:t>nos</w:t>
      </w:r>
      <w:r>
        <w:t xml:space="preserve"> debruçar</w:t>
      </w:r>
      <w:r w:rsidR="002020B6">
        <w:t>mos</w:t>
      </w:r>
      <w:r>
        <w:t xml:space="preserve"> sobre o conceito de “racionalização da política exterior”</w:t>
      </w:r>
      <w:r w:rsidR="002020B6">
        <w:t>,</w:t>
      </w:r>
      <w:r>
        <w:t xml:space="preserve"> c</w:t>
      </w:r>
      <w:r w:rsidR="002D07C8">
        <w:t>onsidera</w:t>
      </w:r>
      <w:r w:rsidR="002020B6">
        <w:t>mos que existe</w:t>
      </w:r>
      <w:r w:rsidR="002D07C8">
        <w:t xml:space="preserve"> espaço para a cooperação, não </w:t>
      </w:r>
      <w:r w:rsidR="002020B6">
        <w:t>apenas pelo</w:t>
      </w:r>
      <w:r w:rsidR="002D07C8">
        <w:t xml:space="preserve"> conflito, na medida em que os Estados co</w:t>
      </w:r>
      <w:r w:rsidR="0016299B">
        <w:t>n</w:t>
      </w:r>
      <w:r w:rsidR="002D07C8">
        <w:t>siderem válida a ação dos entes subnacionais no âmbito internacional</w:t>
      </w:r>
      <w:r>
        <w:t xml:space="preserve">, </w:t>
      </w:r>
      <w:r w:rsidR="002020B6">
        <w:t>desde que</w:t>
      </w:r>
      <w:r w:rsidR="005E16F6">
        <w:t xml:space="preserve"> </w:t>
      </w:r>
      <w:r w:rsidR="002D07C8">
        <w:t>essa atividade seja complementar aos objetivos estabelecidos pela política exterior do país</w:t>
      </w:r>
      <w:r w:rsidR="002D07C8" w:rsidRPr="00B11875">
        <w:t xml:space="preserve"> (SOLDATOS, 1990, p. 49)</w:t>
      </w:r>
      <w:r w:rsidR="002D07C8">
        <w:t>. Nessa perspectiva a atividade internacional das unidades subnacionais pode ser cooperativa ou paralela</w:t>
      </w:r>
      <w:r>
        <w:t>. Em relação a primeira</w:t>
      </w:r>
      <w:r w:rsidR="002020B6">
        <w:t>,</w:t>
      </w:r>
      <w:r w:rsidR="002D07C8">
        <w:t xml:space="preserve"> seria fundamental para sua identificação algum grau de coordenação do governo central dada a sua capacidade de articulação. </w:t>
      </w:r>
      <w:r>
        <w:t>Já com respeito a segunda, uma</w:t>
      </w:r>
      <w:r w:rsidR="002D07C8">
        <w:t xml:space="preserve"> ação internacional paralela por parte dos atores subnacionais </w:t>
      </w:r>
      <w:r w:rsidR="002020B6">
        <w:t xml:space="preserve">geralmente </w:t>
      </w:r>
      <w:r>
        <w:t xml:space="preserve">abre </w:t>
      </w:r>
      <w:r w:rsidR="002D07C8">
        <w:t>espaço para uma relação conflituosa com o governo central.</w:t>
      </w:r>
    </w:p>
    <w:p w:rsidR="002D07C8" w:rsidRDefault="005B025F" w:rsidP="002D07C8">
      <w:pPr>
        <w:spacing w:line="360" w:lineRule="auto"/>
        <w:ind w:firstLine="708"/>
        <w:jc w:val="both"/>
        <w:rPr>
          <w:rFonts w:eastAsia="Calibri"/>
        </w:rPr>
      </w:pPr>
      <w:r>
        <w:rPr>
          <w:color w:val="000000"/>
        </w:rPr>
        <w:t>A</w:t>
      </w:r>
      <w:r w:rsidR="002D07C8">
        <w:rPr>
          <w:color w:val="000000"/>
        </w:rPr>
        <w:t>o</w:t>
      </w:r>
      <w:r w:rsidR="005E16F6">
        <w:rPr>
          <w:color w:val="000000"/>
        </w:rPr>
        <w:t xml:space="preserve"> </w:t>
      </w:r>
      <w:r w:rsidR="00D42EC2">
        <w:rPr>
          <w:color w:val="000000"/>
        </w:rPr>
        <w:t>o</w:t>
      </w:r>
      <w:r w:rsidR="002D07C8">
        <w:rPr>
          <w:color w:val="000000"/>
        </w:rPr>
        <w:t xml:space="preserve">bservarmos o Brasil e Argentina em perspectiva comparada chamamos atenção </w:t>
      </w:r>
      <w:r w:rsidR="002D5989">
        <w:rPr>
          <w:color w:val="000000"/>
        </w:rPr>
        <w:t>para o</w:t>
      </w:r>
      <w:r w:rsidR="002D07C8">
        <w:rPr>
          <w:color w:val="000000"/>
        </w:rPr>
        <w:t xml:space="preserve"> processo d</w:t>
      </w:r>
      <w:r w:rsidR="002D5989">
        <w:rPr>
          <w:color w:val="000000"/>
        </w:rPr>
        <w:t>a</w:t>
      </w:r>
      <w:r w:rsidR="005E16F6">
        <w:rPr>
          <w:color w:val="000000"/>
        </w:rPr>
        <w:t xml:space="preserve"> </w:t>
      </w:r>
      <w:r w:rsidR="002D07C8">
        <w:rPr>
          <w:color w:val="000000"/>
        </w:rPr>
        <w:t>“racionalização nas relações exteriores” com ênfase na dimensão político – institucional (federalismo) da ação internacional das unidades subnacionais para então estabelecer seu diálogo com a transferência da Unidade de Pronto Atendimento</w:t>
      </w:r>
      <w:r w:rsidR="002D5989">
        <w:rPr>
          <w:color w:val="000000"/>
        </w:rPr>
        <w:t xml:space="preserve"> (UPA</w:t>
      </w:r>
      <w:r>
        <w:rPr>
          <w:color w:val="000000"/>
        </w:rPr>
        <w:t xml:space="preserve">). </w:t>
      </w:r>
      <w:r>
        <w:rPr>
          <w:rFonts w:eastAsia="Calibri"/>
        </w:rPr>
        <w:t xml:space="preserve">Dessa forma, argumentamos que, quanto maior </w:t>
      </w:r>
      <w:r w:rsidR="002020B6">
        <w:rPr>
          <w:rFonts w:eastAsia="Calibri"/>
        </w:rPr>
        <w:t xml:space="preserve">a </w:t>
      </w:r>
      <w:r>
        <w:rPr>
          <w:rFonts w:eastAsia="Calibri"/>
        </w:rPr>
        <w:t>autonomia, coordenação e cooperação</w:t>
      </w:r>
      <w:r w:rsidR="002020B6">
        <w:rPr>
          <w:rFonts w:eastAsia="Calibri"/>
        </w:rPr>
        <w:t>,</w:t>
      </w:r>
      <w:r>
        <w:rPr>
          <w:rFonts w:eastAsia="Calibri"/>
        </w:rPr>
        <w:t xml:space="preserve"> maior </w:t>
      </w:r>
      <w:r w:rsidR="002020B6">
        <w:rPr>
          <w:rFonts w:eastAsia="Calibri"/>
        </w:rPr>
        <w:t xml:space="preserve">será </w:t>
      </w:r>
      <w:r>
        <w:rPr>
          <w:rFonts w:eastAsia="Calibri"/>
        </w:rPr>
        <w:t xml:space="preserve">a racionalização da política exterior. </w:t>
      </w:r>
      <w:r w:rsidR="00D42EC2">
        <w:rPr>
          <w:rFonts w:eastAsia="Calibri"/>
        </w:rPr>
        <w:t>Nesse quadro, se conforma</w:t>
      </w:r>
      <w:r w:rsidR="002020B6">
        <w:rPr>
          <w:rFonts w:eastAsia="Calibri"/>
        </w:rPr>
        <w:t>ria</w:t>
      </w:r>
      <w:r w:rsidR="005E16F6">
        <w:rPr>
          <w:rFonts w:eastAsia="Calibri"/>
        </w:rPr>
        <w:t xml:space="preserve"> </w:t>
      </w:r>
      <w:r>
        <w:rPr>
          <w:rFonts w:eastAsia="Calibri"/>
        </w:rPr>
        <w:t>uma “segmentação” cooperativa entre os governos centrais e as unidades subnacionais, na Argentina e no Brasil</w:t>
      </w:r>
      <w:r w:rsidR="00D42EC2">
        <w:rPr>
          <w:rFonts w:eastAsia="Calibri"/>
        </w:rPr>
        <w:t xml:space="preserve">. Diante disso, </w:t>
      </w:r>
      <w:r w:rsidR="002020B6">
        <w:rPr>
          <w:rFonts w:eastAsia="Calibri"/>
        </w:rPr>
        <w:t>existiria</w:t>
      </w:r>
      <w:r>
        <w:rPr>
          <w:rFonts w:eastAsia="Calibri"/>
        </w:rPr>
        <w:t xml:space="preserve"> uma condição político – institucional favorável ao estabelecimento de uma rede de transferência que vai resultar, em última medida, na transplantação da UPA 24H – RJ.</w:t>
      </w:r>
    </w:p>
    <w:p w:rsidR="00EF0C35" w:rsidRDefault="00C82228" w:rsidP="002D07C8">
      <w:pPr>
        <w:spacing w:line="360" w:lineRule="auto"/>
        <w:ind w:firstLine="708"/>
        <w:jc w:val="both"/>
        <w:rPr>
          <w:bCs/>
          <w:color w:val="000000"/>
        </w:rPr>
      </w:pPr>
      <w:r>
        <w:rPr>
          <w:rFonts w:eastAsia="Calibri"/>
        </w:rPr>
        <w:t>Cabe apontar que a c</w:t>
      </w:r>
      <w:r w:rsidR="00AA3D5C">
        <w:rPr>
          <w:rFonts w:eastAsia="Calibri"/>
        </w:rPr>
        <w:t>onstru</w:t>
      </w:r>
      <w:r>
        <w:rPr>
          <w:rFonts w:eastAsia="Calibri"/>
        </w:rPr>
        <w:t xml:space="preserve">ção dos </w:t>
      </w:r>
      <w:r w:rsidR="003656E1">
        <w:rPr>
          <w:rFonts w:eastAsia="Calibri"/>
        </w:rPr>
        <w:t xml:space="preserve">indicadores </w:t>
      </w:r>
      <w:r>
        <w:rPr>
          <w:rFonts w:eastAsia="Calibri"/>
        </w:rPr>
        <w:t xml:space="preserve">baseou-se em extensa </w:t>
      </w:r>
      <w:r w:rsidR="002D07C8">
        <w:rPr>
          <w:bCs/>
          <w:color w:val="000000"/>
        </w:rPr>
        <w:t>d</w:t>
      </w:r>
      <w:r>
        <w:rPr>
          <w:bCs/>
          <w:color w:val="000000"/>
        </w:rPr>
        <w:t>e</w:t>
      </w:r>
      <w:r w:rsidR="002D07C8">
        <w:rPr>
          <w:bCs/>
          <w:color w:val="000000"/>
        </w:rPr>
        <w:t xml:space="preserve"> revisão de literatura</w:t>
      </w:r>
      <w:r w:rsidR="00EF0C35">
        <w:rPr>
          <w:bCs/>
          <w:color w:val="000000"/>
        </w:rPr>
        <w:t xml:space="preserve"> (</w:t>
      </w:r>
      <w:r w:rsidR="00EF0C35">
        <w:t xml:space="preserve">SALOMÓN (2007; </w:t>
      </w:r>
      <w:r w:rsidR="00EF0C35" w:rsidRPr="00DE0978">
        <w:t>CORNAGO</w:t>
      </w:r>
      <w:r w:rsidR="00EF0C35">
        <w:t xml:space="preserve"> PRIETO </w:t>
      </w:r>
      <w:r w:rsidR="00EF0C35" w:rsidRPr="00457EAC">
        <w:t>2004</w:t>
      </w:r>
      <w:r w:rsidR="00EF0C35">
        <w:t xml:space="preserve">; MATSUMOTO 2011; DE ZUBELZÚ, 2004; </w:t>
      </w:r>
      <w:r w:rsidR="00EF0C35" w:rsidRPr="00212800">
        <w:t>IGLESIAS</w:t>
      </w:r>
      <w:r w:rsidR="00EF0C35">
        <w:t xml:space="preserve">, 2005; </w:t>
      </w:r>
      <w:r w:rsidR="00EF0C35" w:rsidRPr="00212800">
        <w:t>BUENO, 2010</w:t>
      </w:r>
      <w:r w:rsidR="00EF0C35">
        <w:t xml:space="preserve">; </w:t>
      </w:r>
      <w:r w:rsidR="00EF0C35" w:rsidRPr="00212800">
        <w:t>PARKIN, 2011</w:t>
      </w:r>
      <w:r w:rsidR="00EF0C35">
        <w:t xml:space="preserve">; </w:t>
      </w:r>
      <w:r w:rsidR="00EF0C35" w:rsidRPr="00212800">
        <w:t>BANZATTO, 2015</w:t>
      </w:r>
      <w:r w:rsidR="00EF0C35">
        <w:t xml:space="preserve">. BESSA MALA E SOMBRA SARAIVA 2016; ABRUCIO 2005; LIMA 2013; </w:t>
      </w:r>
      <w:r w:rsidR="00EF0C35" w:rsidRPr="00711767">
        <w:t>SPADALE, 2014</w:t>
      </w:r>
      <w:r w:rsidR="00EF0C35">
        <w:t xml:space="preserve">; </w:t>
      </w:r>
      <w:r w:rsidR="00EF0C35" w:rsidRPr="00413D2C">
        <w:t>RODRIGUES, 2008</w:t>
      </w:r>
      <w:r w:rsidR="00EF0C35">
        <w:t>)</w:t>
      </w:r>
      <w:r>
        <w:t xml:space="preserve"> que resultou no </w:t>
      </w:r>
      <w:r w:rsidR="006E500F">
        <w:rPr>
          <w:rFonts w:eastAsia="Calibri"/>
        </w:rPr>
        <w:t>desta</w:t>
      </w:r>
      <w:r>
        <w:rPr>
          <w:rFonts w:eastAsia="Calibri"/>
        </w:rPr>
        <w:t xml:space="preserve">que de </w:t>
      </w:r>
      <w:r w:rsidR="006E500F">
        <w:rPr>
          <w:rFonts w:eastAsia="Calibri"/>
        </w:rPr>
        <w:t xml:space="preserve"> três </w:t>
      </w:r>
      <w:r w:rsidR="006E500F">
        <w:rPr>
          <w:rFonts w:eastAsia="Calibri"/>
        </w:rPr>
        <w:lastRenderedPageBreak/>
        <w:t>variáveis independentes para a operacionalização da variável dependente: “racionalização” da política exterior:</w:t>
      </w:r>
    </w:p>
    <w:p w:rsidR="00EF0C35" w:rsidRPr="00EF0C35" w:rsidRDefault="00EF0C35" w:rsidP="00EF0C35">
      <w:pPr>
        <w:pStyle w:val="PargrafodaLista"/>
        <w:numPr>
          <w:ilvl w:val="0"/>
          <w:numId w:val="30"/>
        </w:numPr>
        <w:spacing w:line="360" w:lineRule="auto"/>
        <w:jc w:val="both"/>
        <w:rPr>
          <w:rFonts w:ascii="Times New Roman" w:hAnsi="Times New Roman"/>
          <w:bCs/>
          <w:color w:val="000000"/>
          <w:sz w:val="24"/>
        </w:rPr>
      </w:pPr>
      <w:r w:rsidRPr="00EF0C35">
        <w:rPr>
          <w:rFonts w:ascii="Times New Roman" w:hAnsi="Times New Roman"/>
          <w:bCs/>
          <w:color w:val="000000"/>
          <w:sz w:val="24"/>
        </w:rPr>
        <w:t>C</w:t>
      </w:r>
      <w:r w:rsidR="009A2EEF">
        <w:rPr>
          <w:rFonts w:ascii="Times New Roman" w:hAnsi="Times New Roman"/>
          <w:bCs/>
          <w:color w:val="000000"/>
          <w:sz w:val="24"/>
        </w:rPr>
        <w:t>apacidade de ação internacional</w:t>
      </w:r>
      <w:r w:rsidR="00C82228">
        <w:rPr>
          <w:rFonts w:ascii="Times New Roman" w:hAnsi="Times New Roman"/>
          <w:bCs/>
          <w:color w:val="000000"/>
          <w:sz w:val="24"/>
        </w:rPr>
        <w:t xml:space="preserve"> (autonomia)</w:t>
      </w:r>
      <w:r w:rsidR="009A2EEF">
        <w:rPr>
          <w:rFonts w:ascii="Times New Roman" w:hAnsi="Times New Roman"/>
          <w:bCs/>
          <w:color w:val="000000"/>
          <w:sz w:val="24"/>
        </w:rPr>
        <w:t>;</w:t>
      </w:r>
      <w:r w:rsidR="002D07C8" w:rsidRPr="00EF0C35">
        <w:rPr>
          <w:rFonts w:ascii="Times New Roman" w:hAnsi="Times New Roman"/>
          <w:bCs/>
          <w:color w:val="000000"/>
          <w:sz w:val="24"/>
        </w:rPr>
        <w:t xml:space="preserve"> </w:t>
      </w:r>
    </w:p>
    <w:p w:rsidR="00EF0C35" w:rsidRPr="00EF0C35" w:rsidRDefault="00EF0C35" w:rsidP="00EF0C35">
      <w:pPr>
        <w:pStyle w:val="PargrafodaLista"/>
        <w:numPr>
          <w:ilvl w:val="0"/>
          <w:numId w:val="30"/>
        </w:numPr>
        <w:spacing w:line="360" w:lineRule="auto"/>
        <w:jc w:val="both"/>
        <w:rPr>
          <w:rFonts w:ascii="Times New Roman" w:hAnsi="Times New Roman"/>
          <w:bCs/>
          <w:color w:val="000000"/>
          <w:sz w:val="24"/>
        </w:rPr>
      </w:pPr>
      <w:r w:rsidRPr="00EF0C35">
        <w:rPr>
          <w:rFonts w:ascii="Times New Roman" w:hAnsi="Times New Roman"/>
          <w:bCs/>
          <w:color w:val="000000"/>
          <w:sz w:val="24"/>
        </w:rPr>
        <w:t>C</w:t>
      </w:r>
      <w:r w:rsidR="009A2EEF">
        <w:rPr>
          <w:rFonts w:ascii="Times New Roman" w:hAnsi="Times New Roman"/>
          <w:bCs/>
          <w:color w:val="000000"/>
          <w:sz w:val="24"/>
        </w:rPr>
        <w:t>apacidade de coordenação;</w:t>
      </w:r>
    </w:p>
    <w:p w:rsidR="00EF0C35" w:rsidRPr="00EF0C35" w:rsidRDefault="00EF0C35" w:rsidP="00EF0C35">
      <w:pPr>
        <w:pStyle w:val="PargrafodaLista"/>
        <w:numPr>
          <w:ilvl w:val="0"/>
          <w:numId w:val="30"/>
        </w:numPr>
        <w:spacing w:line="360" w:lineRule="auto"/>
        <w:jc w:val="both"/>
        <w:rPr>
          <w:rFonts w:ascii="Times New Roman" w:hAnsi="Times New Roman"/>
          <w:bCs/>
          <w:color w:val="000000"/>
          <w:sz w:val="24"/>
        </w:rPr>
      </w:pPr>
      <w:r w:rsidRPr="00EF0C35">
        <w:rPr>
          <w:rFonts w:ascii="Times New Roman" w:hAnsi="Times New Roman"/>
          <w:bCs/>
          <w:color w:val="000000"/>
          <w:sz w:val="24"/>
        </w:rPr>
        <w:t>C</w:t>
      </w:r>
      <w:r w:rsidR="002D07C8" w:rsidRPr="00EF0C35">
        <w:rPr>
          <w:rFonts w:ascii="Times New Roman" w:hAnsi="Times New Roman"/>
          <w:bCs/>
          <w:color w:val="000000"/>
          <w:sz w:val="24"/>
        </w:rPr>
        <w:t xml:space="preserve">apacidade </w:t>
      </w:r>
      <w:r w:rsidR="00AA3D5C" w:rsidRPr="00EF0C35">
        <w:rPr>
          <w:rFonts w:ascii="Times New Roman" w:hAnsi="Times New Roman"/>
          <w:bCs/>
          <w:color w:val="000000"/>
          <w:sz w:val="24"/>
        </w:rPr>
        <w:t xml:space="preserve">de </w:t>
      </w:r>
      <w:r w:rsidR="009A2EEF">
        <w:rPr>
          <w:rFonts w:ascii="Times New Roman" w:hAnsi="Times New Roman"/>
          <w:bCs/>
          <w:color w:val="000000"/>
          <w:sz w:val="24"/>
        </w:rPr>
        <w:t>cooperação.</w:t>
      </w:r>
    </w:p>
    <w:p w:rsidR="002D07C8" w:rsidRDefault="006E500F" w:rsidP="009A2EEF">
      <w:pPr>
        <w:spacing w:line="360" w:lineRule="auto"/>
        <w:ind w:firstLine="708"/>
        <w:jc w:val="both"/>
        <w:rPr>
          <w:bCs/>
          <w:color w:val="000000"/>
        </w:rPr>
      </w:pPr>
      <w:r>
        <w:rPr>
          <w:bCs/>
          <w:color w:val="000000"/>
        </w:rPr>
        <w:t>Nosso argumento se baseia no pressuposto de que quan</w:t>
      </w:r>
      <w:r>
        <w:t xml:space="preserve">to maior a capacidade de ação internacional, </w:t>
      </w:r>
      <w:r w:rsidR="00C82228">
        <w:t xml:space="preserve">somada </w:t>
      </w:r>
      <w:r>
        <w:t xml:space="preserve">a </w:t>
      </w:r>
      <w:r w:rsidR="00C82228">
        <w:t xml:space="preserve">uma </w:t>
      </w:r>
      <w:r>
        <w:t xml:space="preserve">capacidade de coordenação e coordenação </w:t>
      </w:r>
      <w:r w:rsidR="00C82228">
        <w:t xml:space="preserve">resulta em </w:t>
      </w:r>
      <w:r>
        <w:t xml:space="preserve">uma racionalização </w:t>
      </w:r>
      <w:r w:rsidR="00C82228">
        <w:t xml:space="preserve">cooperativa </w:t>
      </w:r>
      <w:r>
        <w:t>da política exter</w:t>
      </w:r>
      <w:r w:rsidR="00C82228">
        <w:t>ior</w:t>
      </w:r>
      <w:r>
        <w:t xml:space="preserve">. </w:t>
      </w:r>
      <w:r w:rsidR="002D07C8" w:rsidRPr="00EF0C35">
        <w:rPr>
          <w:bCs/>
          <w:color w:val="000000"/>
        </w:rPr>
        <w:t>O quadro abaixo apresenta de forma resumida os indicadores de cada variável independente</w:t>
      </w:r>
      <w:r>
        <w:rPr>
          <w:bCs/>
          <w:color w:val="000000"/>
        </w:rPr>
        <w:t>.</w:t>
      </w:r>
    </w:p>
    <w:p w:rsidR="006E500F" w:rsidRPr="00EF0C35" w:rsidRDefault="006E500F" w:rsidP="00C073B8">
      <w:pPr>
        <w:ind w:firstLine="708"/>
        <w:jc w:val="both"/>
        <w:rPr>
          <w:bCs/>
          <w:color w:val="000000"/>
        </w:rPr>
      </w:pPr>
    </w:p>
    <w:p w:rsidR="002D07C8" w:rsidRDefault="002D07C8" w:rsidP="002D07C8">
      <w:pPr>
        <w:pStyle w:val="Legenda"/>
        <w:keepNext/>
        <w:jc w:val="center"/>
        <w:rPr>
          <w:color w:val="auto"/>
          <w:sz w:val="24"/>
        </w:rPr>
      </w:pPr>
      <w:r w:rsidRPr="00A439E5">
        <w:rPr>
          <w:color w:val="auto"/>
          <w:sz w:val="24"/>
        </w:rPr>
        <w:t xml:space="preserve">Tabela </w:t>
      </w:r>
      <w:r w:rsidR="001A7B88" w:rsidRPr="00A439E5">
        <w:rPr>
          <w:color w:val="auto"/>
          <w:sz w:val="24"/>
        </w:rPr>
        <w:fldChar w:fldCharType="begin"/>
      </w:r>
      <w:r w:rsidRPr="00A439E5">
        <w:rPr>
          <w:color w:val="auto"/>
          <w:sz w:val="24"/>
        </w:rPr>
        <w:instrText xml:space="preserve"> SEQ Tabela \* ARABIC </w:instrText>
      </w:r>
      <w:r w:rsidR="001A7B88" w:rsidRPr="00A439E5">
        <w:rPr>
          <w:color w:val="auto"/>
          <w:sz w:val="24"/>
        </w:rPr>
        <w:fldChar w:fldCharType="separate"/>
      </w:r>
      <w:r>
        <w:rPr>
          <w:noProof/>
          <w:color w:val="auto"/>
          <w:sz w:val="24"/>
        </w:rPr>
        <w:t>2</w:t>
      </w:r>
      <w:r w:rsidR="001A7B88" w:rsidRPr="00A439E5">
        <w:rPr>
          <w:color w:val="auto"/>
          <w:sz w:val="24"/>
        </w:rPr>
        <w:fldChar w:fldCharType="end"/>
      </w:r>
      <w:r>
        <w:rPr>
          <w:color w:val="auto"/>
          <w:sz w:val="24"/>
        </w:rPr>
        <w:t xml:space="preserve"> Quadro </w:t>
      </w:r>
      <w:r w:rsidR="006E500F">
        <w:rPr>
          <w:color w:val="auto"/>
          <w:sz w:val="24"/>
        </w:rPr>
        <w:t>–</w:t>
      </w:r>
      <w:r>
        <w:rPr>
          <w:color w:val="auto"/>
          <w:sz w:val="24"/>
        </w:rPr>
        <w:t xml:space="preserve"> Resumo</w:t>
      </w:r>
      <w:r w:rsidR="006E500F">
        <w:rPr>
          <w:color w:val="auto"/>
          <w:sz w:val="24"/>
        </w:rPr>
        <w:t xml:space="preserve"> 1</w:t>
      </w:r>
      <w:r>
        <w:rPr>
          <w:color w:val="auto"/>
          <w:sz w:val="24"/>
        </w:rPr>
        <w:t>: Federalismo e “Racionalização da Política Externa”</w:t>
      </w:r>
    </w:p>
    <w:tbl>
      <w:tblPr>
        <w:tblW w:w="7907" w:type="dxa"/>
        <w:jc w:val="center"/>
        <w:tblCellMar>
          <w:left w:w="70" w:type="dxa"/>
          <w:right w:w="70" w:type="dxa"/>
        </w:tblCellMar>
        <w:tblLook w:val="04A0"/>
      </w:tblPr>
      <w:tblGrid>
        <w:gridCol w:w="7907"/>
      </w:tblGrid>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3E37B9" w:rsidRDefault="002D07C8" w:rsidP="002E272D">
            <w:pPr>
              <w:jc w:val="center"/>
              <w:rPr>
                <w:b/>
                <w:color w:val="000000"/>
              </w:rPr>
            </w:pPr>
            <w:r w:rsidRPr="003E37B9">
              <w:rPr>
                <w:b/>
                <w:color w:val="000000"/>
                <w:szCs w:val="22"/>
              </w:rPr>
              <w:t>Capacidade de Ação Internacional (Hi1)</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Existência de Organismos específicos para relações internacionais</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Contratação de crédito direto aos Organismos Internacionais</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Celebração de Acordos Internacionais</w:t>
            </w:r>
          </w:p>
        </w:tc>
      </w:tr>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3E37B9" w:rsidRDefault="002D07C8" w:rsidP="002E272D">
            <w:pPr>
              <w:jc w:val="center"/>
              <w:rPr>
                <w:b/>
                <w:color w:val="000000"/>
              </w:rPr>
            </w:pPr>
            <w:r w:rsidRPr="003E37B9">
              <w:rPr>
                <w:b/>
                <w:color w:val="000000"/>
                <w:szCs w:val="22"/>
              </w:rPr>
              <w:t>Capacidade de Coordenação (Hi2)</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Instrumentos legais e normativos voltados à distribuição de competências</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Instâncias Federativas e mecanismos de negociação intergovernamental</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Papel coordenador/indutor do gover</w:t>
            </w:r>
            <w:r>
              <w:rPr>
                <w:color w:val="000000"/>
                <w:szCs w:val="22"/>
              </w:rPr>
              <w:t xml:space="preserve">no </w:t>
            </w:r>
            <w:r w:rsidRPr="003A0321">
              <w:rPr>
                <w:color w:val="000000"/>
                <w:szCs w:val="22"/>
              </w:rPr>
              <w:t>estadual</w:t>
            </w:r>
          </w:p>
        </w:tc>
      </w:tr>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3E37B9" w:rsidRDefault="002D07C8" w:rsidP="002E272D">
            <w:pPr>
              <w:jc w:val="center"/>
              <w:rPr>
                <w:b/>
                <w:color w:val="000000"/>
              </w:rPr>
            </w:pPr>
            <w:r w:rsidRPr="003E37B9">
              <w:rPr>
                <w:b/>
                <w:color w:val="000000"/>
                <w:szCs w:val="22"/>
              </w:rPr>
              <w:t>Capacidade de Cooperação (Hi3)</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 xml:space="preserve">Partido do Governador é o mesmo do Presidente </w:t>
            </w:r>
          </w:p>
        </w:tc>
      </w:tr>
      <w:tr w:rsidR="002D07C8" w:rsidRPr="003A0321" w:rsidTr="002E272D">
        <w:trPr>
          <w:trHeight w:val="300"/>
          <w:jc w:val="center"/>
        </w:trPr>
        <w:tc>
          <w:tcPr>
            <w:tcW w:w="7907" w:type="dxa"/>
            <w:tcBorders>
              <w:top w:val="nil"/>
              <w:left w:val="single" w:sz="4" w:space="0" w:color="auto"/>
              <w:bottom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Partido do governador faz parte da coligação de governo nacional</w:t>
            </w:r>
          </w:p>
        </w:tc>
      </w:tr>
    </w:tbl>
    <w:p w:rsidR="002D07C8" w:rsidRPr="002D7409" w:rsidRDefault="002D07C8" w:rsidP="002D07C8">
      <w:pPr>
        <w:jc w:val="center"/>
        <w:rPr>
          <w:sz w:val="20"/>
        </w:rPr>
      </w:pPr>
      <w:r w:rsidRPr="002D7409">
        <w:rPr>
          <w:sz w:val="20"/>
        </w:rPr>
        <w:t>Elaborado pelo autor</w:t>
      </w:r>
    </w:p>
    <w:p w:rsidR="002D07C8" w:rsidRDefault="002D07C8" w:rsidP="00804567">
      <w:pPr>
        <w:ind w:firstLine="708"/>
        <w:jc w:val="both"/>
        <w:rPr>
          <w:bCs/>
          <w:color w:val="000000"/>
        </w:rPr>
      </w:pPr>
    </w:p>
    <w:p w:rsidR="002D07C8" w:rsidRDefault="002D07C8" w:rsidP="002D07C8">
      <w:pPr>
        <w:spacing w:line="360" w:lineRule="auto"/>
        <w:ind w:firstLine="708"/>
        <w:jc w:val="both"/>
        <w:rPr>
          <w:bCs/>
          <w:color w:val="000000"/>
        </w:rPr>
      </w:pPr>
      <w:r>
        <w:rPr>
          <w:bCs/>
          <w:color w:val="000000"/>
        </w:rPr>
        <w:t>Na sequência, cada indicador será observado de forma pormenorizada destacando seu papel, a origem dos dados e a estratégia de análise adotada</w:t>
      </w:r>
      <w:r w:rsidR="009A2EEF">
        <w:rPr>
          <w:bCs/>
          <w:color w:val="000000"/>
        </w:rPr>
        <w:t xml:space="preserve"> </w:t>
      </w:r>
      <w:r>
        <w:rPr>
          <w:bCs/>
          <w:color w:val="000000"/>
        </w:rPr>
        <w:t>para cada um deles.</w:t>
      </w:r>
      <w:r w:rsidR="009A2EEF">
        <w:rPr>
          <w:bCs/>
          <w:color w:val="000000"/>
        </w:rPr>
        <w:t xml:space="preserve"> </w:t>
      </w:r>
      <w:r>
        <w:rPr>
          <w:bCs/>
          <w:color w:val="000000"/>
        </w:rPr>
        <w:t xml:space="preserve">Após essa apresentação, o capítulo destaca a estratégia de </w:t>
      </w:r>
      <w:r w:rsidR="00C82228">
        <w:rPr>
          <w:bCs/>
          <w:color w:val="000000"/>
        </w:rPr>
        <w:t>análise comparativa.</w:t>
      </w:r>
    </w:p>
    <w:p w:rsidR="002D07C8" w:rsidRDefault="002D07C8" w:rsidP="002D07C8">
      <w:pPr>
        <w:jc w:val="both"/>
      </w:pPr>
    </w:p>
    <w:p w:rsidR="002D07C8" w:rsidRPr="009F083F" w:rsidRDefault="006E500F" w:rsidP="002D07C8">
      <w:pPr>
        <w:jc w:val="both"/>
        <w:rPr>
          <w:b/>
        </w:rPr>
      </w:pPr>
      <w:r>
        <w:rPr>
          <w:b/>
        </w:rPr>
        <w:t xml:space="preserve">2.2. </w:t>
      </w:r>
      <w:r w:rsidR="009F083F">
        <w:rPr>
          <w:b/>
        </w:rPr>
        <w:t>“</w:t>
      </w:r>
      <w:r w:rsidR="009F083F" w:rsidRPr="009F083F">
        <w:rPr>
          <w:b/>
        </w:rPr>
        <w:t xml:space="preserve">Racionalização </w:t>
      </w:r>
      <w:r w:rsidR="009F083F">
        <w:rPr>
          <w:b/>
        </w:rPr>
        <w:t xml:space="preserve">da Política Exterior” </w:t>
      </w:r>
      <w:r w:rsidR="009F083F" w:rsidRPr="009F083F">
        <w:rPr>
          <w:b/>
        </w:rPr>
        <w:t>como variável dependente</w:t>
      </w:r>
    </w:p>
    <w:p w:rsidR="009F083F" w:rsidRDefault="009F083F" w:rsidP="009F083F">
      <w:pPr>
        <w:ind w:firstLine="708"/>
        <w:jc w:val="both"/>
        <w:rPr>
          <w:bCs/>
          <w:color w:val="000000"/>
        </w:rPr>
      </w:pPr>
    </w:p>
    <w:p w:rsidR="002D07C8" w:rsidRDefault="002D07C8" w:rsidP="002D07C8">
      <w:pPr>
        <w:spacing w:line="360" w:lineRule="auto"/>
        <w:ind w:firstLine="708"/>
        <w:jc w:val="both"/>
        <w:rPr>
          <w:bCs/>
          <w:color w:val="000000"/>
        </w:rPr>
      </w:pPr>
      <w:r>
        <w:rPr>
          <w:bCs/>
          <w:color w:val="000000"/>
        </w:rPr>
        <w:t>Nesse trabalho, para fins operacionais, será adotada a definição de Soldatos (1999</w:t>
      </w:r>
      <w:r w:rsidR="00527AFA">
        <w:rPr>
          <w:bCs/>
          <w:color w:val="000000"/>
        </w:rPr>
        <w:t xml:space="preserve"> p. 36</w:t>
      </w:r>
      <w:r>
        <w:rPr>
          <w:bCs/>
          <w:color w:val="000000"/>
        </w:rPr>
        <w:t>) para “racionalização da política exterior”</w:t>
      </w:r>
      <w:r w:rsidR="008B1B91">
        <w:rPr>
          <w:bCs/>
          <w:color w:val="000000"/>
        </w:rPr>
        <w:t>,</w:t>
      </w:r>
      <w:r>
        <w:rPr>
          <w:bCs/>
          <w:color w:val="000000"/>
        </w:rPr>
        <w:t xml:space="preserve"> que </w:t>
      </w:r>
      <w:r w:rsidR="008B1B91">
        <w:rPr>
          <w:bCs/>
          <w:color w:val="000000"/>
        </w:rPr>
        <w:t xml:space="preserve">está relacionada </w:t>
      </w:r>
      <w:r>
        <w:rPr>
          <w:bCs/>
          <w:color w:val="000000"/>
        </w:rPr>
        <w:t xml:space="preserve">ao fato dos “governos federais aceitarem </w:t>
      </w:r>
      <w:r w:rsidR="00D80C72">
        <w:rPr>
          <w:bCs/>
          <w:color w:val="000000"/>
        </w:rPr>
        <w:t xml:space="preserve">o estabelecimento </w:t>
      </w:r>
      <w:r>
        <w:rPr>
          <w:bCs/>
          <w:color w:val="000000"/>
        </w:rPr>
        <w:t xml:space="preserve">ou </w:t>
      </w:r>
      <w:r w:rsidR="00D80C72">
        <w:rPr>
          <w:bCs/>
          <w:color w:val="000000"/>
        </w:rPr>
        <w:t xml:space="preserve">destacarem um papel a ser exercido pelas </w:t>
      </w:r>
      <w:r>
        <w:rPr>
          <w:bCs/>
          <w:color w:val="000000"/>
        </w:rPr>
        <w:t xml:space="preserve">unidades federadas </w:t>
      </w:r>
      <w:r w:rsidR="00D80C72">
        <w:rPr>
          <w:bCs/>
          <w:color w:val="000000"/>
        </w:rPr>
        <w:t>em termos de relações internacionais</w:t>
      </w:r>
      <w:r w:rsidR="008B1B91">
        <w:rPr>
          <w:bCs/>
          <w:color w:val="000000"/>
        </w:rPr>
        <w:t>”</w:t>
      </w:r>
      <w:r w:rsidR="00D80C72">
        <w:rPr>
          <w:bCs/>
          <w:color w:val="000000"/>
        </w:rPr>
        <w:t xml:space="preserve">. Nesse sentido, essa “racionalização” pode adquirir três formas: </w:t>
      </w:r>
      <w:r w:rsidR="00C82228">
        <w:rPr>
          <w:bCs/>
          <w:color w:val="000000"/>
        </w:rPr>
        <w:t xml:space="preserve">quando </w:t>
      </w:r>
      <w:r>
        <w:rPr>
          <w:bCs/>
          <w:color w:val="000000"/>
        </w:rPr>
        <w:t>complementares (coordenadas, conjuntas ou monitoradas) aos seus objetivos</w:t>
      </w:r>
      <w:r w:rsidR="00C82228">
        <w:rPr>
          <w:bCs/>
          <w:color w:val="000000"/>
        </w:rPr>
        <w:t xml:space="preserve"> ou competitiva</w:t>
      </w:r>
      <w:r w:rsidRPr="003915D9">
        <w:rPr>
          <w:bCs/>
          <w:color w:val="000000"/>
        </w:rPr>
        <w:t>.</w:t>
      </w:r>
      <w:r w:rsidR="004463E0">
        <w:rPr>
          <w:bCs/>
          <w:color w:val="000000"/>
        </w:rPr>
        <w:t xml:space="preserve"> </w:t>
      </w:r>
      <w:r w:rsidR="00D80C72">
        <w:rPr>
          <w:bCs/>
          <w:color w:val="000000"/>
        </w:rPr>
        <w:t xml:space="preserve">Nesse sentido, </w:t>
      </w:r>
      <w:r w:rsidR="00E87EFE">
        <w:rPr>
          <w:bCs/>
          <w:color w:val="000000"/>
        </w:rPr>
        <w:t xml:space="preserve">o autor argumenta que </w:t>
      </w:r>
      <w:r>
        <w:rPr>
          <w:bCs/>
          <w:color w:val="000000"/>
        </w:rPr>
        <w:t xml:space="preserve">a descentralização do poder em termos de ação internacional das unidades subnacionais contribuiria ao país no sentido em que i) promovem os interesses </w:t>
      </w:r>
      <w:r>
        <w:rPr>
          <w:bCs/>
          <w:color w:val="000000"/>
        </w:rPr>
        <w:lastRenderedPageBreak/>
        <w:t xml:space="preserve">internacionais do </w:t>
      </w:r>
      <w:r w:rsidR="00F55EB8">
        <w:rPr>
          <w:bCs/>
          <w:color w:val="000000"/>
        </w:rPr>
        <w:t>país, ii</w:t>
      </w:r>
      <w:r>
        <w:rPr>
          <w:bCs/>
          <w:color w:val="000000"/>
        </w:rPr>
        <w:t xml:space="preserve">) compartilham os custos e se beneficiam dos fluxos abertos e recursos da política externa em âmbito federal e iii)  num contexto de </w:t>
      </w:r>
      <w:r w:rsidR="009F083F">
        <w:rPr>
          <w:bCs/>
          <w:color w:val="000000"/>
        </w:rPr>
        <w:t>“</w:t>
      </w:r>
      <w:r>
        <w:rPr>
          <w:bCs/>
          <w:color w:val="000000"/>
        </w:rPr>
        <w:t>segmentação cooperativa</w:t>
      </w:r>
      <w:r w:rsidR="009F083F">
        <w:rPr>
          <w:bCs/>
          <w:color w:val="000000"/>
        </w:rPr>
        <w:t>”</w:t>
      </w:r>
      <w:r>
        <w:rPr>
          <w:bCs/>
          <w:color w:val="000000"/>
        </w:rPr>
        <w:t xml:space="preserve"> busca estabelecer complementaridades nessa ação.</w:t>
      </w:r>
    </w:p>
    <w:p w:rsidR="002D07C8" w:rsidRDefault="002D07C8" w:rsidP="002D07C8">
      <w:pPr>
        <w:jc w:val="both"/>
      </w:pPr>
    </w:p>
    <w:p w:rsidR="002D07C8" w:rsidRDefault="005C43D0" w:rsidP="005C43D0">
      <w:pPr>
        <w:jc w:val="both"/>
        <w:rPr>
          <w:b/>
        </w:rPr>
      </w:pPr>
      <w:r>
        <w:rPr>
          <w:b/>
        </w:rPr>
        <w:t>2.</w:t>
      </w:r>
      <w:r w:rsidR="007B539F">
        <w:rPr>
          <w:b/>
        </w:rPr>
        <w:t>2</w:t>
      </w:r>
      <w:r>
        <w:rPr>
          <w:b/>
        </w:rPr>
        <w:t xml:space="preserve">.1 </w:t>
      </w:r>
      <w:r w:rsidR="002D07C8" w:rsidRPr="005C43D0">
        <w:rPr>
          <w:b/>
        </w:rPr>
        <w:t>Capacidade de Ação Internacional (Hi1)</w:t>
      </w:r>
    </w:p>
    <w:p w:rsidR="005E16F6" w:rsidRPr="005C43D0" w:rsidRDefault="005E16F6" w:rsidP="005C43D0">
      <w:pPr>
        <w:jc w:val="both"/>
        <w:rPr>
          <w:b/>
        </w:rPr>
      </w:pPr>
    </w:p>
    <w:p w:rsidR="002D07C8" w:rsidRDefault="002D07C8" w:rsidP="002D07C8">
      <w:pPr>
        <w:spacing w:line="360" w:lineRule="auto"/>
        <w:ind w:firstLine="360"/>
        <w:jc w:val="both"/>
      </w:pPr>
      <w:r>
        <w:t xml:space="preserve">A literatura especializada tem identificado a ação internacional das unidades subnacionais sob o termo </w:t>
      </w:r>
      <w:r w:rsidR="0073432B">
        <w:t>“</w:t>
      </w:r>
      <w:r w:rsidR="006B5207">
        <w:t>P</w:t>
      </w:r>
      <w:r>
        <w:t>aradiplomacia</w:t>
      </w:r>
      <w:r w:rsidR="0073432B">
        <w:t>”</w:t>
      </w:r>
      <w:r>
        <w:t xml:space="preserve">. Na definição de </w:t>
      </w:r>
      <w:r w:rsidRPr="00DE0978">
        <w:t>Cornago</w:t>
      </w:r>
      <w:r w:rsidR="0078620D">
        <w:t xml:space="preserve"> </w:t>
      </w:r>
      <w:r w:rsidRPr="00457EAC">
        <w:t>Prieto (2004)</w:t>
      </w:r>
      <w:r w:rsidR="006B5207">
        <w:t xml:space="preserve">, </w:t>
      </w:r>
      <w:r w:rsidRPr="00457EAC">
        <w:t xml:space="preserve">o fenômeno </w:t>
      </w:r>
      <w:r w:rsidR="006B5207">
        <w:t>estaria</w:t>
      </w:r>
      <w:r w:rsidRPr="00457EAC">
        <w:t xml:space="preserve"> relacionado com</w:t>
      </w:r>
      <w:r>
        <w:rPr>
          <w:i/>
        </w:rPr>
        <w:t xml:space="preserve"> “</w:t>
      </w:r>
      <w:r w:rsidRPr="00457EAC">
        <w:t>o envolvimento de governo subnacional nas relações internacionais, por meio do estabelecimento de contatos, formais e informais, permanentes ou provisórios com entidades estrangeiras públicas e privadas</w:t>
      </w:r>
      <w:r>
        <w:t>”</w:t>
      </w:r>
      <w:r w:rsidR="006B5207">
        <w:t xml:space="preserve"> (</w:t>
      </w:r>
      <w:r w:rsidR="006B5207" w:rsidRPr="00DE0978">
        <w:t>Cornago</w:t>
      </w:r>
      <w:r w:rsidR="0078620D">
        <w:t xml:space="preserve"> </w:t>
      </w:r>
      <w:r w:rsidR="006B5207" w:rsidRPr="00457EAC">
        <w:t>Prieto</w:t>
      </w:r>
      <w:r w:rsidR="006B5207">
        <w:t xml:space="preserve">, </w:t>
      </w:r>
      <w:r w:rsidR="006B5207" w:rsidRPr="00457EAC">
        <w:t>2004, p. 251)</w:t>
      </w:r>
      <w:r w:rsidR="006B5207">
        <w:t xml:space="preserve">. </w:t>
      </w:r>
      <w:r w:rsidRPr="00457EAC">
        <w:t>Por sua vez</w:t>
      </w:r>
      <w:r>
        <w:t>, ao destacar as motivações desses atores, Keating (1999) observa uma série de dimensões</w:t>
      </w:r>
      <w:r w:rsidR="006B5207">
        <w:t xml:space="preserve"> necessárias</w:t>
      </w:r>
      <w:r>
        <w:t>: Econômica (exportação, atração de investimentos; turismo; defesa de pequenas e médias empresas); Cultural (recuperação de laços históricos; compartilhamento de identidade étnica; cooperação em educação e cultura) e Política (prestígio, motivação político–partidária, posicionamento político, separatismo, pressão política interna).</w:t>
      </w:r>
    </w:p>
    <w:p w:rsidR="002D07C8" w:rsidRDefault="002D07C8" w:rsidP="002D07C8">
      <w:pPr>
        <w:spacing w:line="360" w:lineRule="auto"/>
        <w:ind w:firstLine="360"/>
        <w:jc w:val="both"/>
      </w:pPr>
      <w:r>
        <w:t>Para a presente pesquisa, a dimensão da autonomia será investigada considerando os indicadores abaixo para observar a capacidade de ação internacional do Estado do Rio de Janeiro e da Província de Buenos Aires</w:t>
      </w:r>
      <w:r w:rsidR="005E16F6">
        <w:t xml:space="preserve"> que serão discutidos a seguir</w:t>
      </w:r>
      <w:r>
        <w:t>:</w:t>
      </w:r>
    </w:p>
    <w:p w:rsidR="002D07C8" w:rsidRDefault="002D07C8" w:rsidP="002D07C8">
      <w:pPr>
        <w:jc w:val="both"/>
      </w:pPr>
    </w:p>
    <w:tbl>
      <w:tblPr>
        <w:tblW w:w="7907" w:type="dxa"/>
        <w:jc w:val="center"/>
        <w:tblCellMar>
          <w:left w:w="70" w:type="dxa"/>
          <w:right w:w="70" w:type="dxa"/>
        </w:tblCellMar>
        <w:tblLook w:val="04A0"/>
      </w:tblPr>
      <w:tblGrid>
        <w:gridCol w:w="7907"/>
      </w:tblGrid>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DE0978" w:rsidRDefault="002D07C8" w:rsidP="002E272D">
            <w:pPr>
              <w:jc w:val="center"/>
              <w:rPr>
                <w:b/>
                <w:color w:val="000000"/>
              </w:rPr>
            </w:pPr>
            <w:r w:rsidRPr="00DE0978">
              <w:rPr>
                <w:b/>
                <w:color w:val="000000"/>
                <w:szCs w:val="22"/>
              </w:rPr>
              <w:t>Quadro Resumo</w:t>
            </w:r>
            <w:r w:rsidR="006E500F">
              <w:rPr>
                <w:b/>
                <w:color w:val="000000"/>
                <w:szCs w:val="22"/>
              </w:rPr>
              <w:t xml:space="preserve"> 2</w:t>
            </w:r>
            <w:r w:rsidRPr="00DE0978">
              <w:rPr>
                <w:b/>
                <w:color w:val="000000"/>
                <w:szCs w:val="22"/>
              </w:rPr>
              <w:t>: Capacidade de Ação Internacional (Hi1)</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Existência de Organismos específicos para relações internacionais</w:t>
            </w:r>
          </w:p>
        </w:tc>
      </w:tr>
      <w:tr w:rsidR="002D07C8" w:rsidRPr="003A0321" w:rsidTr="002E272D">
        <w:trPr>
          <w:trHeight w:val="300"/>
          <w:jc w:val="center"/>
        </w:trPr>
        <w:tc>
          <w:tcPr>
            <w:tcW w:w="7907" w:type="dxa"/>
            <w:tcBorders>
              <w:top w:val="nil"/>
              <w:left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Contratação de crédito direto aos Organismos Internacionais</w:t>
            </w:r>
          </w:p>
        </w:tc>
      </w:tr>
      <w:tr w:rsidR="002D07C8" w:rsidRPr="003A0321" w:rsidTr="002E272D">
        <w:trPr>
          <w:trHeight w:val="300"/>
          <w:jc w:val="center"/>
        </w:trPr>
        <w:tc>
          <w:tcPr>
            <w:tcW w:w="7907" w:type="dxa"/>
            <w:tcBorders>
              <w:top w:val="nil"/>
              <w:left w:val="single" w:sz="4" w:space="0" w:color="auto"/>
              <w:bottom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Celebração de Acordos Internacionais</w:t>
            </w:r>
          </w:p>
        </w:tc>
      </w:tr>
    </w:tbl>
    <w:p w:rsidR="002D07C8" w:rsidRDefault="002D07C8" w:rsidP="002D07C8">
      <w:pPr>
        <w:jc w:val="center"/>
      </w:pPr>
      <w:r>
        <w:t>Elaborado pelo autor</w:t>
      </w:r>
    </w:p>
    <w:p w:rsidR="002D07C8" w:rsidRDefault="002D07C8" w:rsidP="002D07C8">
      <w:pPr>
        <w:jc w:val="center"/>
      </w:pPr>
    </w:p>
    <w:p w:rsidR="002D07C8" w:rsidRPr="001807F6" w:rsidRDefault="002D07C8" w:rsidP="002D07C8">
      <w:pPr>
        <w:pStyle w:val="PargrafodaLista"/>
        <w:numPr>
          <w:ilvl w:val="0"/>
          <w:numId w:val="17"/>
        </w:numPr>
        <w:spacing w:line="360" w:lineRule="auto"/>
        <w:jc w:val="both"/>
        <w:rPr>
          <w:rFonts w:ascii="Times New Roman" w:hAnsi="Times New Roman"/>
          <w:b/>
          <w:sz w:val="24"/>
        </w:rPr>
      </w:pPr>
      <w:r w:rsidRPr="001807F6">
        <w:rPr>
          <w:rFonts w:ascii="Times New Roman" w:hAnsi="Times New Roman"/>
          <w:b/>
          <w:sz w:val="24"/>
        </w:rPr>
        <w:t>Existência de Organismos Específicos para Relações Internacionais</w:t>
      </w:r>
    </w:p>
    <w:p w:rsidR="002D07C8" w:rsidRDefault="002D07C8" w:rsidP="002D07C8">
      <w:pPr>
        <w:spacing w:line="360" w:lineRule="auto"/>
        <w:ind w:firstLine="708"/>
        <w:jc w:val="both"/>
      </w:pPr>
      <w:r>
        <w:t xml:space="preserve">Para Salomón (2007) um dos principais desafios para a pesquisa sobre </w:t>
      </w:r>
      <w:r w:rsidR="00432B75">
        <w:t xml:space="preserve">a </w:t>
      </w:r>
      <w:r>
        <w:t xml:space="preserve">ação internacional das unidades subnacionais </w:t>
      </w:r>
      <w:r w:rsidR="00432B75">
        <w:t xml:space="preserve">estaria </w:t>
      </w:r>
      <w:r>
        <w:t>na identificação de indicadores que possam ser considerados para a investigação desse fenômeno. De acordo com Matsumoto (2011) a existência de espaços institucionais responsáveis por desenvolver ou coordenar a ação externa das unidades subnacionais pode ser um indica</w:t>
      </w:r>
      <w:r w:rsidR="00447BF8">
        <w:t>dor</w:t>
      </w:r>
      <w:r>
        <w:t xml:space="preserve"> possível na investigação dessa atuação. Argumentam no mesmo sentido</w:t>
      </w:r>
      <w:r w:rsidR="00C82228">
        <w:t>,</w:t>
      </w:r>
      <w:r>
        <w:t xml:space="preserve"> Salomón e Nunes (2007) ao considerarem que “a existência de uma instância não monopolizadora, porém coordenadora da ação exterior do governo, é uma das principais ferramentas </w:t>
      </w:r>
      <w:r>
        <w:lastRenderedPageBreak/>
        <w:t>paradiplomáticas com que se conta”</w:t>
      </w:r>
      <w:r w:rsidR="0078620D">
        <w:t xml:space="preserve"> (SALOMÓN E NUNES, 2007 p. 105)</w:t>
      </w:r>
      <w:r>
        <w:t xml:space="preserve">. No entanto os </w:t>
      </w:r>
      <w:r w:rsidR="00447BF8">
        <w:t xml:space="preserve">referidos </w:t>
      </w:r>
      <w:r>
        <w:t>autores advertem que a criação de uma estrutura institucional não representa, necessariamente, o início de sua ação internacional, e sim um adensamento e uma “vontade de agir mais organizadamente do que até então” (</w:t>
      </w:r>
      <w:r w:rsidR="005E16F6">
        <w:t>SALOMÓN e NUNES, 2007: 105).   A</w:t>
      </w:r>
      <w:r>
        <w:t xml:space="preserve">s </w:t>
      </w:r>
      <w:r w:rsidR="005E16F6" w:rsidRPr="005E16F6">
        <w:t>informações</w:t>
      </w:r>
      <w:r>
        <w:t xml:space="preserve"> </w:t>
      </w:r>
      <w:r w:rsidR="005E16F6">
        <w:t xml:space="preserve">que dão base </w:t>
      </w:r>
      <w:r>
        <w:t xml:space="preserve">para a análise desse indicador são </w:t>
      </w:r>
      <w:r w:rsidR="005E16F6">
        <w:t>oriundas de revisão bibliográfica</w:t>
      </w:r>
      <w:r>
        <w:t>, destacadamente</w:t>
      </w:r>
      <w:r w:rsidR="00C82228">
        <w:t>, pautando-se n</w:t>
      </w:r>
      <w:r>
        <w:t xml:space="preserve">os </w:t>
      </w:r>
      <w:r w:rsidR="00C82228">
        <w:t xml:space="preserve">dados dos </w:t>
      </w:r>
      <w:r>
        <w:t xml:space="preserve">trabalhos de Zubelzú, 2004; </w:t>
      </w:r>
      <w:r w:rsidRPr="00212800">
        <w:t>Iglesias</w:t>
      </w:r>
      <w:r>
        <w:t xml:space="preserve">, 2005; </w:t>
      </w:r>
      <w:r w:rsidRPr="00212800">
        <w:t>Bueno, 2010</w:t>
      </w:r>
      <w:r>
        <w:t xml:space="preserve">; </w:t>
      </w:r>
      <w:r w:rsidRPr="00212800">
        <w:t>Parkin, 2011</w:t>
      </w:r>
      <w:r>
        <w:t xml:space="preserve">; </w:t>
      </w:r>
      <w:r w:rsidRPr="00212800">
        <w:t>Banzatto, 2015</w:t>
      </w:r>
      <w:r>
        <w:t xml:space="preserve">. Dessa forma, os </w:t>
      </w:r>
      <w:r w:rsidRPr="005E16F6">
        <w:t>dados</w:t>
      </w:r>
      <w:r w:rsidR="005E16F6">
        <w:rPr>
          <w:color w:val="FF0000"/>
        </w:rPr>
        <w:t xml:space="preserve"> </w:t>
      </w:r>
      <w:r>
        <w:t xml:space="preserve">serão apresentados de forma dicotômica considerando as unidades em que </w:t>
      </w:r>
      <w:r w:rsidR="00447BF8">
        <w:t>existe</w:t>
      </w:r>
      <w:r>
        <w:t xml:space="preserve"> organismo específico para a condução das relações internacionais</w:t>
      </w:r>
      <w:r w:rsidR="00447BF8">
        <w:t>, como também d</w:t>
      </w:r>
      <w:r>
        <w:t>as unidades em que</w:t>
      </w:r>
      <w:r w:rsidR="00447BF8">
        <w:t xml:space="preserve"> estes</w:t>
      </w:r>
      <w:r>
        <w:t xml:space="preserve"> não </w:t>
      </w:r>
      <w:r w:rsidR="00447BF8">
        <w:t xml:space="preserve">existem. </w:t>
      </w:r>
    </w:p>
    <w:p w:rsidR="00447BF8" w:rsidRDefault="00447BF8" w:rsidP="00BC7BFD">
      <w:pPr>
        <w:ind w:firstLine="708"/>
        <w:jc w:val="both"/>
      </w:pPr>
    </w:p>
    <w:p w:rsidR="002D07C8" w:rsidRDefault="002D07C8" w:rsidP="002D07C8">
      <w:pPr>
        <w:pStyle w:val="PargrafodaLista"/>
        <w:numPr>
          <w:ilvl w:val="0"/>
          <w:numId w:val="17"/>
        </w:numPr>
        <w:jc w:val="both"/>
        <w:rPr>
          <w:rFonts w:ascii="Times New Roman" w:hAnsi="Times New Roman"/>
          <w:b/>
          <w:sz w:val="24"/>
        </w:rPr>
      </w:pPr>
      <w:r w:rsidRPr="001807F6">
        <w:rPr>
          <w:rFonts w:ascii="Times New Roman" w:hAnsi="Times New Roman"/>
          <w:b/>
          <w:sz w:val="24"/>
        </w:rPr>
        <w:t>Contratação de crédito direto aos Organismos Internacionais</w:t>
      </w:r>
      <w:r>
        <w:rPr>
          <w:rFonts w:ascii="Times New Roman" w:hAnsi="Times New Roman"/>
          <w:b/>
          <w:sz w:val="24"/>
        </w:rPr>
        <w:t xml:space="preserve"> (Paradiplomacia Financeira)</w:t>
      </w:r>
    </w:p>
    <w:p w:rsidR="00C82228" w:rsidRDefault="0078620D" w:rsidP="002D07C8">
      <w:pPr>
        <w:spacing w:line="360" w:lineRule="auto"/>
        <w:ind w:firstLine="708"/>
        <w:jc w:val="both"/>
      </w:pPr>
      <w:r>
        <w:t xml:space="preserve">Bessa Mala e Sombra Saraiva (2016 p. 126) definem a paradiplomacia financeira como a “iniciativa própria e autônoma de um governo subnacional no sentido de negociar e contratar diretamente a captação de recursos externos (...) com vistas a complementar suas necessidades de financiamento de investimento público”.  </w:t>
      </w:r>
      <w:r w:rsidR="00C82228">
        <w:t xml:space="preserve">Em adição, os autores assumem que a paradiplomacia financeira se desenvolve tendo como objetivos: a) “assegurar recursos externos para financiar projetos de investimento público”; b) “obter recursos à custos menores que o mercado interno; c) angariar recursos para “fugir” da restrição orçamentária”; d)“projetar-se internacionalmente como parceiro credível e confiável”. </w:t>
      </w:r>
    </w:p>
    <w:p w:rsidR="002D07C8" w:rsidRDefault="00C82228" w:rsidP="002D07C8">
      <w:pPr>
        <w:spacing w:line="360" w:lineRule="auto"/>
        <w:ind w:firstLine="708"/>
        <w:jc w:val="both"/>
      </w:pPr>
      <w:r>
        <w:t>Para a coleta de dados adotou-se a pesquisa documental</w:t>
      </w:r>
      <w:r>
        <w:rPr>
          <w:rStyle w:val="Refdenotaderodap"/>
        </w:rPr>
        <w:footnoteReference w:id="2"/>
      </w:r>
      <w:r>
        <w:t xml:space="preserve"> (Governo do Estado do Rio de Janeiro e Província de Buenos Aires) e revisão bibliográfica (Bessa Maia, 2012; </w:t>
      </w:r>
      <w:r w:rsidRPr="00711767">
        <w:t>Spadale, 2014</w:t>
      </w:r>
      <w:r>
        <w:t xml:space="preserve">) no sentido debdimensionar a autonomia dessas unidades nessa esfera nos dois países. </w:t>
      </w:r>
      <w:r w:rsidR="0078620D">
        <w:t>Optamos pela coleta de dados da paradiplomacia financeira das unidades subnacionais em questão</w:t>
      </w:r>
      <w:r w:rsidR="0078620D">
        <w:rPr>
          <w:rStyle w:val="Refdecomentrio"/>
        </w:rPr>
        <w:t xml:space="preserve"> </w:t>
      </w:r>
      <w:r>
        <w:rPr>
          <w:rStyle w:val="Refdecomentrio"/>
          <w:sz w:val="24"/>
        </w:rPr>
        <w:t>par</w:t>
      </w:r>
      <w:r w:rsidR="002D07C8">
        <w:rPr>
          <w:color w:val="000000"/>
          <w:szCs w:val="20"/>
        </w:rPr>
        <w:t xml:space="preserve">tindo do pressuposto que </w:t>
      </w:r>
      <w:r w:rsidR="004B509A">
        <w:rPr>
          <w:color w:val="000000"/>
          <w:szCs w:val="20"/>
        </w:rPr>
        <w:t>existe</w:t>
      </w:r>
      <w:r w:rsidR="002D07C8">
        <w:rPr>
          <w:color w:val="000000"/>
          <w:szCs w:val="20"/>
        </w:rPr>
        <w:t xml:space="preserve"> uma a ampliação da capacidade de transferência de políticas públicas dado os “efeitos da c</w:t>
      </w:r>
      <w:r w:rsidR="002D07C8">
        <w:t>aptação de recursos de fontes internacionais por governos subnacionais em um contexto de federalismo fiscal”</w:t>
      </w:r>
      <w:r w:rsidR="0078620D">
        <w:t xml:space="preserve"> (BESSA MALA E SOMBRA SARAIVA, 2016 p. 126). </w:t>
      </w:r>
      <w:r w:rsidR="002D07C8">
        <w:t>Após análise qualitativa interpretativa buscaremos classificar essa autonomia entre Ampla, Parcial ou Reduzida.</w:t>
      </w:r>
    </w:p>
    <w:p w:rsidR="002D07C8" w:rsidRPr="001807F6" w:rsidRDefault="002D07C8" w:rsidP="002D07C8">
      <w:pPr>
        <w:pStyle w:val="PargrafodaLista"/>
        <w:numPr>
          <w:ilvl w:val="0"/>
          <w:numId w:val="17"/>
        </w:numPr>
        <w:jc w:val="both"/>
        <w:rPr>
          <w:rFonts w:ascii="Times New Roman" w:hAnsi="Times New Roman"/>
          <w:b/>
          <w:sz w:val="24"/>
        </w:rPr>
      </w:pPr>
      <w:r w:rsidRPr="001807F6">
        <w:rPr>
          <w:rFonts w:ascii="Times New Roman" w:hAnsi="Times New Roman"/>
          <w:b/>
          <w:sz w:val="24"/>
        </w:rPr>
        <w:lastRenderedPageBreak/>
        <w:t>Celebração de Acordos Internacionais</w:t>
      </w:r>
    </w:p>
    <w:p w:rsidR="002D07C8" w:rsidRPr="003828BB" w:rsidRDefault="002D07C8" w:rsidP="002D07C8">
      <w:pPr>
        <w:spacing w:line="360" w:lineRule="auto"/>
        <w:ind w:firstLine="708"/>
        <w:jc w:val="both"/>
      </w:pPr>
      <w:r>
        <w:rPr>
          <w:sz w:val="23"/>
          <w:szCs w:val="23"/>
        </w:rPr>
        <w:t>De acordo com o art. 2º da Convenção de Viena sobre o Direito dos Tratados entre Estados e Organizações Internacionais ou entre Organizações Internacionais (1986)</w:t>
      </w:r>
      <w:r w:rsidR="007A0CBB">
        <w:rPr>
          <w:sz w:val="23"/>
          <w:szCs w:val="23"/>
        </w:rPr>
        <w:t xml:space="preserve">, </w:t>
      </w:r>
      <w:r>
        <w:rPr>
          <w:sz w:val="23"/>
          <w:szCs w:val="23"/>
        </w:rPr>
        <w:t xml:space="preserve">um tratado é um “acordo internacional regido pelo direito internacional e celebrado por escrito entre um ou vários </w:t>
      </w:r>
      <w:r w:rsidRPr="007604D4">
        <w:rPr>
          <w:i/>
          <w:sz w:val="23"/>
          <w:szCs w:val="23"/>
        </w:rPr>
        <w:t>Estados</w:t>
      </w:r>
      <w:r>
        <w:rPr>
          <w:sz w:val="23"/>
          <w:szCs w:val="23"/>
        </w:rPr>
        <w:t xml:space="preserve"> e uma ou várias </w:t>
      </w:r>
      <w:r w:rsidRPr="007604D4">
        <w:rPr>
          <w:i/>
          <w:sz w:val="23"/>
          <w:szCs w:val="23"/>
        </w:rPr>
        <w:t>organizações internacionais</w:t>
      </w:r>
      <w:r>
        <w:rPr>
          <w:sz w:val="23"/>
          <w:szCs w:val="23"/>
        </w:rPr>
        <w:t xml:space="preserve"> ou entre </w:t>
      </w:r>
      <w:r w:rsidRPr="007604D4">
        <w:rPr>
          <w:i/>
          <w:sz w:val="23"/>
          <w:szCs w:val="23"/>
        </w:rPr>
        <w:t>organizações internacionais</w:t>
      </w:r>
      <w:r>
        <w:rPr>
          <w:sz w:val="23"/>
          <w:szCs w:val="23"/>
        </w:rPr>
        <w:t xml:space="preserve">”. Nesse cenário, </w:t>
      </w:r>
      <w:r w:rsidR="007A0CBB">
        <w:rPr>
          <w:sz w:val="23"/>
          <w:szCs w:val="23"/>
        </w:rPr>
        <w:t>ocorre</w:t>
      </w:r>
      <w:r>
        <w:rPr>
          <w:sz w:val="23"/>
          <w:szCs w:val="23"/>
        </w:rPr>
        <w:t xml:space="preserve"> o </w:t>
      </w:r>
      <w:r>
        <w:t>embate em torno da validade jurídica dos acordos estabelecidos ent</w:t>
      </w:r>
      <w:r w:rsidR="007A0CBB">
        <w:t>r</w:t>
      </w:r>
      <w:r>
        <w:t>eas unidades subnacionais</w:t>
      </w:r>
      <w:r w:rsidR="007A0CBB">
        <w:t>,</w:t>
      </w:r>
      <w:r>
        <w:t xml:space="preserve"> que</w:t>
      </w:r>
      <w:r w:rsidR="007A0CBB">
        <w:t xml:space="preserve"> muitas vezes</w:t>
      </w:r>
      <w:r>
        <w:t xml:space="preserve"> tende</w:t>
      </w:r>
      <w:r w:rsidR="007A0CBB">
        <w:t>m</w:t>
      </w:r>
      <w:r>
        <w:t xml:space="preserve"> a opor visões doutrinárias </w:t>
      </w:r>
      <w:r w:rsidR="007A0CBB">
        <w:t>distintas. A polêmica geralmente ocorre entre aqueles que assumem a</w:t>
      </w:r>
      <w:r>
        <w:t xml:space="preserve"> interpretação acerca da vedação desse instrumento pelo Direito Internacional e </w:t>
      </w:r>
      <w:r w:rsidR="007A0CBB">
        <w:t xml:space="preserve">aqueles </w:t>
      </w:r>
      <w:r>
        <w:t xml:space="preserve">que indicam que </w:t>
      </w:r>
      <w:r w:rsidR="007A0CBB">
        <w:t>seria</w:t>
      </w:r>
      <w:r>
        <w:t xml:space="preserve"> possível que esses acordos sejam estabelecidos sem que haja violação das normas internacionais</w:t>
      </w:r>
      <w:r w:rsidR="007A0CBB">
        <w:t>,</w:t>
      </w:r>
      <w:r>
        <w:t xml:space="preserve"> dado o poder do Estado em conferir essa competência em seu quadro jurídico doméstico </w:t>
      </w:r>
      <w:r w:rsidRPr="00C3182D">
        <w:rPr>
          <w:rFonts w:eastAsia="Calibri"/>
          <w:color w:val="000000"/>
          <w:sz w:val="23"/>
          <w:szCs w:val="23"/>
        </w:rPr>
        <w:t xml:space="preserve">(REZEK, 2011; PAIKIN, 2010; VARELA, 2010; MAZZUOLI, 2004; MELLO, 2001). </w:t>
      </w:r>
    </w:p>
    <w:p w:rsidR="00FF4797" w:rsidRDefault="002D07C8" w:rsidP="00FF4797">
      <w:pPr>
        <w:spacing w:line="360" w:lineRule="auto"/>
        <w:ind w:firstLine="708"/>
        <w:jc w:val="both"/>
        <w:rPr>
          <w:rFonts w:eastAsia="Calibri"/>
          <w:color w:val="000000"/>
        </w:rPr>
      </w:pPr>
      <w:r>
        <w:t xml:space="preserve">A despeito desse debate, </w:t>
      </w:r>
      <w:r w:rsidRPr="00D8616A">
        <w:t>Frisancho (2010</w:t>
      </w:r>
      <w:r w:rsidR="00FF4797">
        <w:t xml:space="preserve"> p. 17</w:t>
      </w:r>
      <w:r w:rsidRPr="00D8616A">
        <w:t xml:space="preserve">) </w:t>
      </w:r>
      <w:r>
        <w:t xml:space="preserve">afirma que </w:t>
      </w:r>
      <w:r w:rsidRPr="00D8616A">
        <w:t>“</w:t>
      </w:r>
      <w:r w:rsidR="00FF4797" w:rsidRPr="00FF4797">
        <w:t xml:space="preserve">deve-se notar que </w:t>
      </w:r>
      <w:r w:rsidR="00FF4797">
        <w:t>os acordos bilaterais</w:t>
      </w:r>
      <w:r w:rsidR="00FF4797" w:rsidRPr="00FF4797">
        <w:t xml:space="preserve"> tornaram</w:t>
      </w:r>
      <w:r w:rsidR="00FF4797">
        <w:t xml:space="preserve">-se </w:t>
      </w:r>
      <w:r w:rsidR="00FF4797" w:rsidRPr="00FF4797">
        <w:t>os instrumentos mais comuns assinados entre esses atores internacionais (unidades subnacionais)</w:t>
      </w:r>
      <w:r w:rsidR="00FF4797">
        <w:t>”</w:t>
      </w:r>
      <w:r w:rsidR="00FF4797">
        <w:rPr>
          <w:rStyle w:val="Refdenotaderodap"/>
        </w:rPr>
        <w:footnoteReference w:id="3"/>
      </w:r>
      <w:r w:rsidR="00FF4797">
        <w:t xml:space="preserve">. </w:t>
      </w:r>
      <w:r>
        <w:rPr>
          <w:rFonts w:eastAsia="Calibri"/>
          <w:color w:val="000000"/>
        </w:rPr>
        <w:t>Nesse âmbito Batista (2008</w:t>
      </w:r>
      <w:r w:rsidR="00FF4797">
        <w:rPr>
          <w:rFonts w:eastAsia="Calibri"/>
          <w:color w:val="000000"/>
        </w:rPr>
        <w:t xml:space="preserve"> p. 28</w:t>
      </w:r>
      <w:r>
        <w:rPr>
          <w:rFonts w:eastAsia="Calibri"/>
          <w:color w:val="000000"/>
        </w:rPr>
        <w:t xml:space="preserve">) defende que esses os acordos são </w:t>
      </w:r>
      <w:r w:rsidR="00FF4797">
        <w:rPr>
          <w:rFonts w:eastAsia="Calibri"/>
          <w:color w:val="000000"/>
        </w:rPr>
        <w:t>“</w:t>
      </w:r>
      <w:r w:rsidR="00FF4797" w:rsidRPr="00FF4797">
        <w:rPr>
          <w:rFonts w:eastAsia="Calibri"/>
          <w:color w:val="000000"/>
        </w:rPr>
        <w:t>instrumentos de cooperação concretos, tangíveis e viáveis, baseados em uma base comum de vontades e interesses a curto, médio e longo prazos, envolvendo dois (cooperação bilateral) ou mais (cooperação multilateral) governos locais / regionais</w:t>
      </w:r>
      <w:r w:rsidR="007D2078">
        <w:rPr>
          <w:rFonts w:eastAsia="Calibri"/>
          <w:color w:val="000000"/>
        </w:rPr>
        <w:t xml:space="preserve">” </w:t>
      </w:r>
      <w:r w:rsidR="007D2078">
        <w:rPr>
          <w:rStyle w:val="Refdenotaderodap"/>
          <w:rFonts w:eastAsia="Calibri"/>
          <w:color w:val="000000"/>
        </w:rPr>
        <w:footnoteReference w:id="4"/>
      </w:r>
      <w:r w:rsidR="007D2078">
        <w:rPr>
          <w:rFonts w:eastAsia="Calibri"/>
          <w:color w:val="000000"/>
        </w:rPr>
        <w:t>.</w:t>
      </w:r>
    </w:p>
    <w:p w:rsidR="001C386E" w:rsidRDefault="002D07C8" w:rsidP="002D07C8">
      <w:pPr>
        <w:spacing w:line="360" w:lineRule="auto"/>
        <w:ind w:firstLine="708"/>
        <w:jc w:val="both"/>
      </w:pPr>
      <w:r w:rsidRPr="004C17F7">
        <w:t>Nesse sentido, os dados sobre os acordos da Província de Buenos</w:t>
      </w:r>
      <w:r w:rsidR="001C386E">
        <w:t xml:space="preserve"> </w:t>
      </w:r>
      <w:r w:rsidR="00686E62">
        <w:t xml:space="preserve">Aires </w:t>
      </w:r>
      <w:r>
        <w:t xml:space="preserve">são </w:t>
      </w:r>
      <w:r w:rsidRPr="004C17F7">
        <w:t xml:space="preserve">provenientes do Projeto de </w:t>
      </w:r>
      <w:r w:rsidRPr="004C17F7">
        <w:rPr>
          <w:bCs/>
          <w:iCs/>
        </w:rPr>
        <w:t>"</w:t>
      </w:r>
      <w:r w:rsidRPr="00423996">
        <w:rPr>
          <w:bCs/>
          <w:i/>
          <w:iCs/>
        </w:rPr>
        <w:t>Sistematización y publicación on line de los Convenios Internacionales celebrados por las provincias argentinas</w:t>
      </w:r>
      <w:r w:rsidRPr="004C17F7">
        <w:rPr>
          <w:bCs/>
          <w:iCs/>
        </w:rPr>
        <w:t xml:space="preserve">” </w:t>
      </w:r>
      <w:r w:rsidRPr="004C17F7">
        <w:t xml:space="preserve">que tem como responsável </w:t>
      </w:r>
      <w:r w:rsidR="00F9162C">
        <w:t>por sua</w:t>
      </w:r>
      <w:r w:rsidRPr="004C17F7">
        <w:t xml:space="preserve"> co</w:t>
      </w:r>
      <w:r w:rsidR="00F9162C">
        <w:t>m</w:t>
      </w:r>
      <w:r w:rsidRPr="004C17F7">
        <w:t>pilaç</w:t>
      </w:r>
      <w:r>
        <w:t xml:space="preserve">ão </w:t>
      </w:r>
      <w:r w:rsidRPr="004C17F7">
        <w:t xml:space="preserve">o </w:t>
      </w:r>
      <w:r w:rsidRPr="00DE0978">
        <w:rPr>
          <w:i/>
        </w:rPr>
        <w:t>Consejo Argentino Para las Relaciones Internacionales (CARI).</w:t>
      </w:r>
      <w:r>
        <w:t xml:space="preserve"> Por sua vez, para o acesso as informações sobre essa dimensão do estado do Rio de Janeiro</w:t>
      </w:r>
      <w:r w:rsidR="00F9162C">
        <w:t>,</w:t>
      </w:r>
      <w:r>
        <w:t xml:space="preserve"> os dados foram solicitados diretamente a</w:t>
      </w:r>
      <w:r w:rsidRPr="004C17F7">
        <w:t xml:space="preserve"> Subsecretaria de </w:t>
      </w:r>
      <w:r>
        <w:t>Relações Internacionais (SSRI)</w:t>
      </w:r>
      <w:r w:rsidR="00F9162C">
        <w:t>,</w:t>
      </w:r>
      <w:r w:rsidR="0090589A">
        <w:t xml:space="preserve"> </w:t>
      </w:r>
      <w:r w:rsidRPr="004C17F7">
        <w:t>órgão que integra a estrutura da Secretaria de Estado da Casa Civil</w:t>
      </w:r>
      <w:r>
        <w:t>. Após análise qualitativa</w:t>
      </w:r>
      <w:r w:rsidR="00F9162C">
        <w:t>/</w:t>
      </w:r>
      <w:r>
        <w:t>interpretativa buscaremos classificar essa autonomia entre Ampla, Parcial ou Reduzida.</w:t>
      </w:r>
    </w:p>
    <w:p w:rsidR="002D07C8" w:rsidRDefault="002D07C8" w:rsidP="002D07C8">
      <w:pPr>
        <w:spacing w:line="360" w:lineRule="auto"/>
        <w:ind w:firstLine="708"/>
        <w:jc w:val="both"/>
      </w:pPr>
      <w:r>
        <w:t xml:space="preserve"> </w:t>
      </w:r>
    </w:p>
    <w:p w:rsidR="002D07C8" w:rsidRPr="007B539F" w:rsidRDefault="002D07C8" w:rsidP="007B539F">
      <w:pPr>
        <w:pStyle w:val="PargrafodaLista"/>
        <w:numPr>
          <w:ilvl w:val="2"/>
          <w:numId w:val="29"/>
        </w:numPr>
        <w:jc w:val="both"/>
        <w:rPr>
          <w:rFonts w:ascii="Times New Roman" w:hAnsi="Times New Roman"/>
          <w:b/>
          <w:sz w:val="24"/>
        </w:rPr>
      </w:pPr>
      <w:r w:rsidRPr="007B539F">
        <w:rPr>
          <w:rFonts w:ascii="Times New Roman" w:hAnsi="Times New Roman"/>
          <w:b/>
          <w:sz w:val="24"/>
        </w:rPr>
        <w:lastRenderedPageBreak/>
        <w:t>Capacidade de Coordenação (H2)</w:t>
      </w:r>
    </w:p>
    <w:p w:rsidR="002D07C8" w:rsidRDefault="002D07C8" w:rsidP="002D07C8">
      <w:pPr>
        <w:spacing w:line="360" w:lineRule="auto"/>
        <w:ind w:firstLine="360"/>
        <w:jc w:val="both"/>
      </w:pPr>
      <w:r>
        <w:t>Para Arretche (2004</w:t>
      </w:r>
      <w:r w:rsidR="006E500F">
        <w:t xml:space="preserve"> p. 23</w:t>
      </w:r>
      <w:r>
        <w:t>)</w:t>
      </w:r>
      <w:r w:rsidR="00F9162C">
        <w:t>,</w:t>
      </w:r>
      <w:r>
        <w:t xml:space="preserve"> um dos elementos que devem ser observados em termos de </w:t>
      </w:r>
      <w:r w:rsidRPr="00882F54">
        <w:rPr>
          <w:i/>
        </w:rPr>
        <w:t>coordenação federativa</w:t>
      </w:r>
      <w:r>
        <w:t xml:space="preserve"> diz respeito “as </w:t>
      </w:r>
      <w:r w:rsidRPr="00882F54">
        <w:rPr>
          <w:i/>
        </w:rPr>
        <w:t>regras legais</w:t>
      </w:r>
      <w:r>
        <w:t xml:space="preserve"> que obriguem os atores a compartilhar decisões e tarefas – definição de competências no terreno das políticas públicas, por exemplo”. Em adição, de acordo com a autora, a coordenação pode ser observada por meio da existência de </w:t>
      </w:r>
      <w:r w:rsidRPr="00882F54">
        <w:rPr>
          <w:i/>
        </w:rPr>
        <w:t>fóruns federativos</w:t>
      </w:r>
      <w:r>
        <w:t xml:space="preserve"> para que os entes subnacionais possam acionar com vistas a defender seus interesses (ARRETCHE, 2004</w:t>
      </w:r>
      <w:r>
        <w:rPr>
          <w:rStyle w:val="Refdenotaderodap"/>
        </w:rPr>
        <w:footnoteReference w:id="5"/>
      </w:r>
      <w:r>
        <w:t xml:space="preserve">). </w:t>
      </w:r>
      <w:r w:rsidRPr="00A51E45">
        <w:t>Por</w:t>
      </w:r>
      <w:r>
        <w:t xml:space="preserve"> sua vez, Soldatos (1990) aponta que a </w:t>
      </w:r>
      <w:r w:rsidRPr="00A51E45">
        <w:rPr>
          <w:i/>
        </w:rPr>
        <w:t>descentralização coordenada</w:t>
      </w:r>
      <w:r>
        <w:t xml:space="preserve"> em termos de relações exteriores contribui para a sua racionalização. </w:t>
      </w:r>
    </w:p>
    <w:p w:rsidR="002D07C8" w:rsidRDefault="002D07C8" w:rsidP="002D07C8">
      <w:pPr>
        <w:spacing w:line="360" w:lineRule="auto"/>
        <w:ind w:firstLine="360"/>
        <w:jc w:val="both"/>
      </w:pPr>
      <w:r>
        <w:t>A questão da coordenação do governo federal tem como desafio a preservação dos princípios do federalismo como autonomia e direitos originários. Nesse ponto, o processo decisório tem de considerar participação nas esferas de poder não se conformando de forma hierarquizada e centralizada. (ABRUCIO &amp; SOARES, 2001)</w:t>
      </w:r>
      <w:r w:rsidRPr="00EF5271">
        <w:t>.</w:t>
      </w:r>
      <w:r>
        <w:t xml:space="preserve"> Para esse trabalho, adotamos a ideia de coordenação federativa como forma de relacionamento (interação, compartilhamento e decisão conjunta) entre as diferentes esferas de governo (ABRUCIO, 2005).</w:t>
      </w:r>
    </w:p>
    <w:p w:rsidR="00F9162C" w:rsidRDefault="002D07C8" w:rsidP="002D07C8">
      <w:pPr>
        <w:spacing w:line="360" w:lineRule="auto"/>
        <w:ind w:firstLine="360"/>
        <w:jc w:val="both"/>
      </w:pPr>
      <w:r>
        <w:t>A tabela abaixo apresenta de forma resumida os indicadores adotados pela pesquisa na operacionalização da dimensão de coordenação da “racionalização da política exterior”. Para tal, baseamo-nos no</w:t>
      </w:r>
      <w:r w:rsidR="00FA742A">
        <w:t>s</w:t>
      </w:r>
      <w:r>
        <w:t xml:space="preserve"> trabalho</w:t>
      </w:r>
      <w:r w:rsidR="00FA742A">
        <w:t>s</w:t>
      </w:r>
      <w:r>
        <w:t xml:space="preserve"> de Abrucio (2005)</w:t>
      </w:r>
      <w:r w:rsidR="00FA742A">
        <w:t xml:space="preserve"> e</w:t>
      </w:r>
      <w:r>
        <w:t xml:space="preserve"> Lima (2013)</w:t>
      </w:r>
      <w:r w:rsidR="00FA742A">
        <w:t>.</w:t>
      </w:r>
      <w:r>
        <w:t xml:space="preserve"> </w:t>
      </w:r>
    </w:p>
    <w:p w:rsidR="006E500F" w:rsidRPr="00985817" w:rsidRDefault="006E500F" w:rsidP="002D07C8">
      <w:pPr>
        <w:spacing w:line="360" w:lineRule="auto"/>
        <w:ind w:firstLine="360"/>
        <w:jc w:val="both"/>
      </w:pPr>
    </w:p>
    <w:tbl>
      <w:tblPr>
        <w:tblW w:w="7907" w:type="dxa"/>
        <w:jc w:val="center"/>
        <w:tblCellMar>
          <w:left w:w="70" w:type="dxa"/>
          <w:right w:w="70" w:type="dxa"/>
        </w:tblCellMar>
        <w:tblLook w:val="04A0"/>
      </w:tblPr>
      <w:tblGrid>
        <w:gridCol w:w="7907"/>
      </w:tblGrid>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340DFC" w:rsidRDefault="006E500F" w:rsidP="00AE568B">
            <w:pPr>
              <w:jc w:val="center"/>
              <w:rPr>
                <w:b/>
                <w:color w:val="000000"/>
              </w:rPr>
            </w:pPr>
            <w:r>
              <w:rPr>
                <w:b/>
                <w:color w:val="000000"/>
                <w:szCs w:val="22"/>
              </w:rPr>
              <w:t>Quadro Resumo 3</w:t>
            </w:r>
            <w:r w:rsidR="00AE568B">
              <w:rPr>
                <w:b/>
                <w:color w:val="000000"/>
                <w:szCs w:val="22"/>
              </w:rPr>
              <w:t>:</w:t>
            </w:r>
            <w:r>
              <w:rPr>
                <w:b/>
                <w:color w:val="000000"/>
                <w:szCs w:val="22"/>
              </w:rPr>
              <w:t xml:space="preserve"> </w:t>
            </w:r>
            <w:r w:rsidR="002D07C8" w:rsidRPr="00340DFC">
              <w:rPr>
                <w:b/>
                <w:color w:val="000000"/>
                <w:szCs w:val="22"/>
              </w:rPr>
              <w:t>Capacidade de Coordenação (Hi2)</w:t>
            </w:r>
          </w:p>
        </w:tc>
      </w:tr>
      <w:tr w:rsidR="002D07C8" w:rsidRPr="003A0321" w:rsidTr="002E272D">
        <w:trPr>
          <w:trHeight w:val="300"/>
          <w:jc w:val="center"/>
        </w:trPr>
        <w:tc>
          <w:tcPr>
            <w:tcW w:w="7907" w:type="dxa"/>
            <w:tcBorders>
              <w:top w:val="nil"/>
              <w:left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Instrumentos legais e normativos voltados à distribuição de competências</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Instâncias Federativas e mecanismos de negociação intergovernamental</w:t>
            </w:r>
          </w:p>
        </w:tc>
      </w:tr>
      <w:tr w:rsidR="002D07C8" w:rsidRPr="003A0321" w:rsidTr="002E272D">
        <w:trPr>
          <w:trHeight w:val="300"/>
          <w:jc w:val="center"/>
        </w:trPr>
        <w:tc>
          <w:tcPr>
            <w:tcW w:w="7907" w:type="dxa"/>
            <w:tcBorders>
              <w:top w:val="nil"/>
              <w:left w:val="single" w:sz="4" w:space="0" w:color="auto"/>
              <w:bottom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Papel coorden</w:t>
            </w:r>
            <w:r w:rsidR="001C386E">
              <w:rPr>
                <w:color w:val="000000"/>
                <w:szCs w:val="22"/>
              </w:rPr>
              <w:t xml:space="preserve">ador/indutor do governo </w:t>
            </w:r>
            <w:r w:rsidRPr="003A0321">
              <w:rPr>
                <w:color w:val="000000"/>
                <w:szCs w:val="22"/>
              </w:rPr>
              <w:t>estadual</w:t>
            </w:r>
          </w:p>
        </w:tc>
      </w:tr>
    </w:tbl>
    <w:p w:rsidR="002D07C8" w:rsidRDefault="002D07C8" w:rsidP="002D07C8">
      <w:pPr>
        <w:pStyle w:val="PargrafodaLista"/>
        <w:ind w:left="360"/>
        <w:jc w:val="center"/>
        <w:rPr>
          <w:rFonts w:ascii="Times New Roman" w:hAnsi="Times New Roman"/>
          <w:sz w:val="24"/>
        </w:rPr>
      </w:pPr>
      <w:r w:rsidRPr="00C60F00">
        <w:rPr>
          <w:rFonts w:ascii="Times New Roman" w:hAnsi="Times New Roman"/>
          <w:sz w:val="24"/>
        </w:rPr>
        <w:t>Elaborado pelo autor</w:t>
      </w:r>
    </w:p>
    <w:p w:rsidR="002D07C8" w:rsidRPr="00C60F00" w:rsidRDefault="002D07C8" w:rsidP="002D07C8">
      <w:pPr>
        <w:pStyle w:val="PargrafodaLista"/>
        <w:ind w:left="360"/>
        <w:jc w:val="center"/>
        <w:rPr>
          <w:rFonts w:ascii="Times New Roman" w:hAnsi="Times New Roman"/>
          <w:sz w:val="24"/>
        </w:rPr>
      </w:pPr>
    </w:p>
    <w:p w:rsidR="002D07C8" w:rsidRDefault="002D07C8" w:rsidP="002D07C8">
      <w:pPr>
        <w:pStyle w:val="PargrafodaLista"/>
        <w:numPr>
          <w:ilvl w:val="0"/>
          <w:numId w:val="18"/>
        </w:numPr>
        <w:jc w:val="both"/>
        <w:rPr>
          <w:rFonts w:ascii="Times New Roman" w:hAnsi="Times New Roman"/>
          <w:b/>
          <w:sz w:val="24"/>
        </w:rPr>
      </w:pPr>
      <w:r w:rsidRPr="00533999">
        <w:rPr>
          <w:rFonts w:ascii="Times New Roman" w:hAnsi="Times New Roman"/>
          <w:b/>
          <w:sz w:val="24"/>
        </w:rPr>
        <w:t>Instrumentos legais e normativos voltados à distribuição de competências</w:t>
      </w:r>
    </w:p>
    <w:p w:rsidR="002D07C8" w:rsidRPr="000A5A6B" w:rsidRDefault="002D07C8" w:rsidP="002D07C8">
      <w:pPr>
        <w:spacing w:line="360" w:lineRule="auto"/>
        <w:ind w:firstLine="360"/>
        <w:jc w:val="both"/>
      </w:pPr>
      <w:r>
        <w:t xml:space="preserve">O desenho institucional das federações determina a repartição do poder entre os diversos níveis de governo. </w:t>
      </w:r>
      <w:r w:rsidR="006E500F">
        <w:t xml:space="preserve">Dessa maneira, </w:t>
      </w:r>
      <w:r>
        <w:t xml:space="preserve">cabe observar o arranjo federativo adotado pelos países em foco (ELAZAR, 1987; LIJPHART, 2003). </w:t>
      </w:r>
      <w:r w:rsidRPr="006E500F">
        <w:t>Nesse caso</w:t>
      </w:r>
      <w:r>
        <w:t>, o presente indicador tem por objetivo a investigação dos dispositivos constitucionais dos dois países que versam sobre a dimensão internacional do federalismo. Ademais, segundo Souza (2005)</w:t>
      </w:r>
      <w:r w:rsidR="00D512A1">
        <w:t>,</w:t>
      </w:r>
      <w:r>
        <w:t xml:space="preserve"> ainda </w:t>
      </w:r>
      <w:r w:rsidR="00D512A1">
        <w:t>existiria</w:t>
      </w:r>
      <w:r>
        <w:t xml:space="preserve"> uma lacuna no campo da ciência política no que diz </w:t>
      </w:r>
      <w:r>
        <w:lastRenderedPageBreak/>
        <w:t xml:space="preserve">respeito a consideração do desenho </w:t>
      </w:r>
      <w:r w:rsidR="00D512A1">
        <w:t>constitucional</w:t>
      </w:r>
      <w:r>
        <w:t xml:space="preserve"> do federalismo. Dessa forma compartilhamos a vis</w:t>
      </w:r>
      <w:r w:rsidR="007C223D">
        <w:t>ão</w:t>
      </w:r>
      <w:r>
        <w:t xml:space="preserve"> da autora</w:t>
      </w:r>
      <w:r w:rsidR="007C223D">
        <w:t>, qu</w:t>
      </w:r>
      <w:r>
        <w:t>e pontua que “o</w:t>
      </w:r>
      <w:r w:rsidRPr="000A5A6B">
        <w:t xml:space="preserve"> federalismo proporciona uma abordagem de organização constitucional que possibilita a ação por um governo compartilhado para determinados finalidades comuns, juntamente com a ação autônoma</w:t>
      </w:r>
      <w:r>
        <w:t>” (SOUZA, 2005)</w:t>
      </w:r>
    </w:p>
    <w:p w:rsidR="002D07C8" w:rsidRDefault="002D07C8" w:rsidP="002D07C8">
      <w:pPr>
        <w:spacing w:line="360" w:lineRule="auto"/>
        <w:ind w:firstLine="360"/>
        <w:jc w:val="both"/>
      </w:pPr>
      <w:r>
        <w:t>Os dados que observados nesse indicad</w:t>
      </w:r>
      <w:r w:rsidR="007C223D">
        <w:t>o</w:t>
      </w:r>
      <w:r>
        <w:t>r constam da Constituição Federal da Nação Argentina de 1994 e da Constituição Federal Brasileira de 1988</w:t>
      </w:r>
      <w:r w:rsidR="007C223D">
        <w:t>,</w:t>
      </w:r>
      <w:r>
        <w:t xml:space="preserve"> assim como</w:t>
      </w:r>
      <w:r w:rsidR="007C223D">
        <w:t xml:space="preserve"> de</w:t>
      </w:r>
      <w:r>
        <w:t xml:space="preserve"> revisão bibliográfica</w:t>
      </w:r>
      <w:r w:rsidR="007C223D">
        <w:t>,</w:t>
      </w:r>
      <w:r>
        <w:t xml:space="preserve"> no sentido de estabelecer uma classificação entre instrumentos normativos de autorização Ampla, Parcial ou Reduzida. </w:t>
      </w:r>
    </w:p>
    <w:p w:rsidR="002D07C8" w:rsidRDefault="002D07C8" w:rsidP="002D07C8">
      <w:pPr>
        <w:jc w:val="both"/>
      </w:pPr>
    </w:p>
    <w:p w:rsidR="002D07C8" w:rsidRDefault="002D07C8" w:rsidP="002D07C8">
      <w:pPr>
        <w:pStyle w:val="PargrafodaLista"/>
        <w:numPr>
          <w:ilvl w:val="0"/>
          <w:numId w:val="18"/>
        </w:numPr>
        <w:jc w:val="both"/>
        <w:rPr>
          <w:rFonts w:ascii="Times New Roman" w:hAnsi="Times New Roman"/>
          <w:b/>
          <w:sz w:val="24"/>
        </w:rPr>
      </w:pPr>
      <w:r w:rsidRPr="001371FF">
        <w:rPr>
          <w:rFonts w:ascii="Times New Roman" w:hAnsi="Times New Roman"/>
          <w:b/>
          <w:sz w:val="24"/>
        </w:rPr>
        <w:t>Instâncias Federativas e mecanismos de negociação intergovernamental</w:t>
      </w:r>
    </w:p>
    <w:p w:rsidR="002D07C8" w:rsidRDefault="002D07C8" w:rsidP="006E500F">
      <w:pPr>
        <w:spacing w:line="360" w:lineRule="auto"/>
        <w:ind w:firstLine="360"/>
        <w:jc w:val="both"/>
      </w:pPr>
      <w:r w:rsidRPr="00CA5D59">
        <w:t>De acordo com Silveira (2002</w:t>
      </w:r>
      <w:r w:rsidR="006E500F">
        <w:t xml:space="preserve"> p. 45</w:t>
      </w:r>
      <w:r w:rsidRPr="00CA5D59">
        <w:t>)</w:t>
      </w:r>
      <w:r w:rsidR="007F492E">
        <w:t>,</w:t>
      </w:r>
      <w:r>
        <w:t xml:space="preserve"> as relações intergovernamentais são marcadas por “técnicas relacionais ou arranjos coperativos que permitem repactuar o </w:t>
      </w:r>
      <w:r w:rsidRPr="00CA5D59">
        <w:rPr>
          <w:i/>
        </w:rPr>
        <w:t>foedus</w:t>
      </w:r>
      <w:r w:rsidR="006E500F">
        <w:rPr>
          <w:i/>
        </w:rPr>
        <w:t xml:space="preserve"> </w:t>
      </w:r>
      <w:r w:rsidRPr="00CA5D59">
        <w:t>através</w:t>
      </w:r>
      <w:r>
        <w:t xml:space="preserve"> da partilha de </w:t>
      </w:r>
      <w:r w:rsidR="007F492E">
        <w:t>responsabilidades</w:t>
      </w:r>
      <w:r>
        <w:t>”. Em termos de direcionalidade</w:t>
      </w:r>
      <w:r w:rsidR="00B32CC0">
        <w:t>,</w:t>
      </w:r>
      <w:r>
        <w:t xml:space="preserve"> o </w:t>
      </w:r>
      <w:r w:rsidR="00B32CC0">
        <w:t>autor</w:t>
      </w:r>
      <w:r>
        <w:t xml:space="preserve"> considera que essa relação pode dar-se de forma vertical – entre diferentes níveis de governo— ou horizontal, entre</w:t>
      </w:r>
      <w:r w:rsidR="00B32CC0">
        <w:t xml:space="preserve"> o</w:t>
      </w:r>
      <w:r>
        <w:t xml:space="preserve"> mesmo nível. Dessa forma, retomando a </w:t>
      </w:r>
      <w:r w:rsidR="00B32CC0">
        <w:t>perspectiva</w:t>
      </w:r>
      <w:r>
        <w:t xml:space="preserve"> de Abrucio (2005</w:t>
      </w:r>
      <w:r w:rsidR="006E500F">
        <w:t xml:space="preserve"> p. 12</w:t>
      </w:r>
      <w:r>
        <w:t>)</w:t>
      </w:r>
      <w:r w:rsidR="00B32CC0">
        <w:t>,</w:t>
      </w:r>
      <w:r>
        <w:t xml:space="preserve"> onde a coordenação federativa se dá por meio de “interação, compartilhamento e decisão conjunta”</w:t>
      </w:r>
      <w:r w:rsidR="00B32CC0">
        <w:t>,</w:t>
      </w:r>
      <w:r>
        <w:t xml:space="preserve"> buscamos por meio desse indicador identificar os espaços de interação federativa no que diz respeito ao estabelecimento de relações internacionais nos dois países observados. </w:t>
      </w:r>
    </w:p>
    <w:p w:rsidR="002D07C8" w:rsidRDefault="002D07C8" w:rsidP="002D07C8">
      <w:pPr>
        <w:spacing w:line="360" w:lineRule="auto"/>
        <w:ind w:firstLine="708"/>
        <w:jc w:val="both"/>
      </w:pPr>
      <w:r>
        <w:t xml:space="preserve">Para </w:t>
      </w:r>
      <w:r w:rsidR="006E500F">
        <w:t>a observação do indicador</w:t>
      </w:r>
      <w:r>
        <w:t xml:space="preserve">, </w:t>
      </w:r>
      <w:r w:rsidR="006E500F">
        <w:t>adotaremos como estratégia de coleta de dados a</w:t>
      </w:r>
      <w:r>
        <w:t xml:space="preserve"> revis</w:t>
      </w:r>
      <w:r w:rsidR="00B32CC0">
        <w:t>ão</w:t>
      </w:r>
      <w:r>
        <w:t xml:space="preserve"> de literatura e consulta a documentos oficiais, em especial os disponibilizados pelo Ministério das Relações Exteriores, no caso brasileiro, e por sua vez, o Ministério de </w:t>
      </w:r>
      <w:r w:rsidR="00B32CC0">
        <w:t>Relações</w:t>
      </w:r>
      <w:r w:rsidR="00321BD7">
        <w:t xml:space="preserve"> </w:t>
      </w:r>
      <w:r w:rsidR="00B32CC0">
        <w:t>Exteriores</w:t>
      </w:r>
      <w:r>
        <w:t xml:space="preserve"> e Culto, por parte da Argentina.  Nossa análise busca classificar as três dimensões da coordenação federativa apontadas por Abrucio, a saber, i) interação, ii) compartilhamento e iii) decisão conjunta em termos de capacidade Ampla, Parcial ou Reduzida</w:t>
      </w:r>
      <w:r w:rsidR="00BC7BFD">
        <w:t>.</w:t>
      </w:r>
    </w:p>
    <w:p w:rsidR="002D07C8" w:rsidRDefault="002D07C8" w:rsidP="00BC7BFD">
      <w:pPr>
        <w:pStyle w:val="PargrafodaLista"/>
        <w:spacing w:line="240" w:lineRule="auto"/>
        <w:rPr>
          <w:rFonts w:ascii="Times New Roman" w:hAnsi="Times New Roman"/>
          <w:sz w:val="24"/>
        </w:rPr>
      </w:pPr>
    </w:p>
    <w:p w:rsidR="002D07C8" w:rsidRPr="001371FF" w:rsidRDefault="002D07C8" w:rsidP="002D07C8">
      <w:pPr>
        <w:pStyle w:val="PargrafodaLista"/>
        <w:numPr>
          <w:ilvl w:val="0"/>
          <w:numId w:val="18"/>
        </w:numPr>
        <w:jc w:val="both"/>
        <w:rPr>
          <w:rFonts w:ascii="Times New Roman" w:hAnsi="Times New Roman"/>
          <w:b/>
          <w:sz w:val="24"/>
        </w:rPr>
      </w:pPr>
      <w:r w:rsidRPr="001371FF">
        <w:rPr>
          <w:rFonts w:ascii="Times New Roman" w:hAnsi="Times New Roman"/>
          <w:b/>
          <w:sz w:val="24"/>
        </w:rPr>
        <w:t>Papel</w:t>
      </w:r>
      <w:r>
        <w:rPr>
          <w:rFonts w:ascii="Times New Roman" w:hAnsi="Times New Roman"/>
          <w:b/>
          <w:sz w:val="24"/>
        </w:rPr>
        <w:t xml:space="preserve"> coordenador/indutor do governo </w:t>
      </w:r>
      <w:r w:rsidRPr="001371FF">
        <w:rPr>
          <w:rFonts w:ascii="Times New Roman" w:hAnsi="Times New Roman"/>
          <w:b/>
          <w:sz w:val="24"/>
        </w:rPr>
        <w:t>estadual</w:t>
      </w:r>
    </w:p>
    <w:p w:rsidR="002D07C8" w:rsidRDefault="002D07C8" w:rsidP="002D07C8">
      <w:pPr>
        <w:spacing w:line="360" w:lineRule="auto"/>
        <w:ind w:firstLine="360"/>
        <w:jc w:val="both"/>
      </w:pPr>
      <w:r w:rsidRPr="002F0B18">
        <w:t>Lascurain (2011)</w:t>
      </w:r>
      <w:r w:rsidR="00387167">
        <w:t xml:space="preserve"> </w:t>
      </w:r>
      <w:r>
        <w:t>aponta que ser governador ou seguir sendo é de fundamental importância para fazer do centro do poder em termos de vida partidária na província</w:t>
      </w:r>
      <w:r w:rsidR="00AE568B">
        <w:t xml:space="preserve">. </w:t>
      </w:r>
      <w:r>
        <w:t xml:space="preserve">Nesse ponto, para a nossa pesquisa, </w:t>
      </w:r>
      <w:r w:rsidR="00AE568B">
        <w:t>a</w:t>
      </w:r>
      <w:r>
        <w:t>s estratégias de sobrevivência política</w:t>
      </w:r>
      <w:r w:rsidR="00AE568B">
        <w:t xml:space="preserve"> desse ator</w:t>
      </w:r>
      <w:r w:rsidR="004E5C1F">
        <w:t xml:space="preserve">, constituem importante </w:t>
      </w:r>
      <w:r>
        <w:t xml:space="preserve">elemento a ser considerado como motivador da coordenação / indução do governo em </w:t>
      </w:r>
      <w:r w:rsidR="000E43F3">
        <w:t xml:space="preserve">sua atuação nas </w:t>
      </w:r>
      <w:r>
        <w:t>ações internacionais</w:t>
      </w:r>
      <w:r w:rsidR="000E43F3">
        <w:t xml:space="preserve">, em </w:t>
      </w:r>
      <w:r>
        <w:t xml:space="preserve">um movimento de </w:t>
      </w:r>
      <w:r>
        <w:lastRenderedPageBreak/>
        <w:t xml:space="preserve">racionalização cooperativa ou conflitiva da política exterior. Nesse sentido, a justificativa desse indicador se dá na medida em que o contato com a dimensão internacional </w:t>
      </w:r>
      <w:r w:rsidR="00CA3C54">
        <w:t xml:space="preserve">pelo </w:t>
      </w:r>
      <w:r>
        <w:t>governador tanto em termos de visitas/missões à outros países</w:t>
      </w:r>
      <w:r w:rsidR="000E43F3">
        <w:t>,</w:t>
      </w:r>
      <w:r>
        <w:t xml:space="preserve"> quanto a recepção </w:t>
      </w:r>
      <w:r w:rsidR="000E43F3">
        <w:t xml:space="preserve">de </w:t>
      </w:r>
      <w:r>
        <w:t>delegações internacionais</w:t>
      </w:r>
      <w:r w:rsidR="000E43F3">
        <w:t>,</w:t>
      </w:r>
      <w:r>
        <w:t xml:space="preserve"> rendem dividendos políticos em termos de prestígio. Dessa forma, ao atrair atenção positiva a sua gestão, que pode ser observada até mesmo pela cobertura dos meios de comunicação, o governante busca a construção de uma imagem vinculada a um perfil cosmopolita, sofisticado e de </w:t>
      </w:r>
      <w:r w:rsidR="00CA3C54">
        <w:t xml:space="preserve">maior </w:t>
      </w:r>
      <w:r>
        <w:t>experiência (MATSUMOTO, 2011).</w:t>
      </w:r>
      <w:r w:rsidR="00CA3C54">
        <w:t xml:space="preserve"> Os resultados encontrados por Bueno (2010 p. 256 – 257) apontam que a mais alta autoridade em termos de assuntos internacionais dos estados brasileiros é o governador seguido do Vice – Governador para, então, figurarem os secretários das estrtuturas organizativas dess dimensão de ação.  </w:t>
      </w:r>
    </w:p>
    <w:p w:rsidR="002D07C8" w:rsidRDefault="002D07C8" w:rsidP="002D07C8">
      <w:pPr>
        <w:spacing w:line="360" w:lineRule="auto"/>
        <w:ind w:firstLine="708"/>
        <w:jc w:val="both"/>
        <w:rPr>
          <w:color w:val="000000"/>
          <w:shd w:val="clear" w:color="auto" w:fill="FFFFFF"/>
        </w:rPr>
      </w:pPr>
      <w:r>
        <w:rPr>
          <w:color w:val="000000"/>
          <w:shd w:val="clear" w:color="auto" w:fill="FFFFFF"/>
        </w:rPr>
        <w:t>Ao investigarem as estratégias de sobrevivência política dos deputados federais</w:t>
      </w:r>
      <w:r w:rsidR="00733135">
        <w:rPr>
          <w:color w:val="000000"/>
          <w:shd w:val="clear" w:color="auto" w:fill="FFFFFF"/>
        </w:rPr>
        <w:t>,</w:t>
      </w:r>
      <w:r w:rsidR="00AE568B">
        <w:rPr>
          <w:color w:val="000000"/>
          <w:shd w:val="clear" w:color="auto" w:fill="FFFFFF"/>
        </w:rPr>
        <w:t xml:space="preserve"> </w:t>
      </w:r>
      <w:r w:rsidRPr="00502857">
        <w:rPr>
          <w:color w:val="000000"/>
          <w:shd w:val="clear" w:color="auto" w:fill="FFFFFF"/>
        </w:rPr>
        <w:t>Leoni et al (2003)</w:t>
      </w:r>
      <w:r>
        <w:rPr>
          <w:color w:val="000000"/>
          <w:shd w:val="clear" w:color="auto" w:fill="FFFFFF"/>
        </w:rPr>
        <w:t xml:space="preserve"> identificam três </w:t>
      </w:r>
      <w:r w:rsidRPr="00502857">
        <w:rPr>
          <w:color w:val="000000"/>
          <w:shd w:val="clear" w:color="auto" w:fill="FFFFFF"/>
        </w:rPr>
        <w:t>tipos</w:t>
      </w:r>
      <w:r w:rsidR="00733135">
        <w:rPr>
          <w:color w:val="000000"/>
          <w:shd w:val="clear" w:color="auto" w:fill="FFFFFF"/>
        </w:rPr>
        <w:t xml:space="preserve"> ideais</w:t>
      </w:r>
      <w:r>
        <w:rPr>
          <w:color w:val="000000"/>
          <w:shd w:val="clear" w:color="auto" w:fill="FFFFFF"/>
        </w:rPr>
        <w:t>, a saber</w:t>
      </w:r>
      <w:r w:rsidR="00733135">
        <w:rPr>
          <w:color w:val="000000"/>
          <w:shd w:val="clear" w:color="auto" w:fill="FFFFFF"/>
        </w:rPr>
        <w:t xml:space="preserve">: </w:t>
      </w:r>
      <w:r>
        <w:rPr>
          <w:color w:val="000000"/>
          <w:shd w:val="clear" w:color="auto" w:fill="FFFFFF"/>
        </w:rPr>
        <w:t xml:space="preserve">1) retirar-se do jogo político – que quer dizer aposentar-se; 2) concorrer a um cargo legislativo estadual, o que os autores </w:t>
      </w:r>
      <w:r w:rsidR="00733135">
        <w:rPr>
          <w:color w:val="000000"/>
          <w:shd w:val="clear" w:color="auto" w:fill="FFFFFF"/>
        </w:rPr>
        <w:t>identificam</w:t>
      </w:r>
      <w:r>
        <w:rPr>
          <w:color w:val="000000"/>
          <w:shd w:val="clear" w:color="auto" w:fill="FFFFFF"/>
        </w:rPr>
        <w:t xml:space="preserve"> como ambição regressiva; 3) ou concorrer a cargos mais altos o que os pesquisadores nomeiam de ambição progressiva. Dito isto, </w:t>
      </w:r>
      <w:r w:rsidR="00733135">
        <w:rPr>
          <w:color w:val="000000"/>
          <w:shd w:val="clear" w:color="auto" w:fill="FFFFFF"/>
        </w:rPr>
        <w:t>t</w:t>
      </w:r>
      <w:r w:rsidR="00733135" w:rsidRPr="00502857">
        <w:rPr>
          <w:color w:val="000000"/>
          <w:shd w:val="clear" w:color="auto" w:fill="FFFFFF"/>
        </w:rPr>
        <w:t>omando os</w:t>
      </w:r>
      <w:r w:rsidRPr="00502857">
        <w:rPr>
          <w:color w:val="000000"/>
          <w:shd w:val="clear" w:color="auto" w:fill="FFFFFF"/>
        </w:rPr>
        <w:t xml:space="preserve"> tipos de estratégias de sobrevivência política </w:t>
      </w:r>
      <w:r>
        <w:rPr>
          <w:color w:val="000000"/>
          <w:shd w:val="clear" w:color="auto" w:fill="FFFFFF"/>
        </w:rPr>
        <w:t xml:space="preserve">identificados, defende-se que, para a aplicação do indicador, </w:t>
      </w:r>
      <w:r w:rsidRPr="00502857">
        <w:rPr>
          <w:color w:val="000000"/>
          <w:shd w:val="clear" w:color="auto" w:fill="FFFFFF"/>
        </w:rPr>
        <w:t xml:space="preserve">o governador </w:t>
      </w:r>
      <w:r>
        <w:rPr>
          <w:color w:val="000000"/>
          <w:shd w:val="clear" w:color="auto" w:fill="FFFFFF"/>
        </w:rPr>
        <w:t xml:space="preserve">tem como (1) </w:t>
      </w:r>
      <w:r w:rsidRPr="00502857">
        <w:rPr>
          <w:color w:val="000000"/>
          <w:shd w:val="clear" w:color="auto" w:fill="FFFFFF"/>
        </w:rPr>
        <w:t xml:space="preserve">ambição progressiva </w:t>
      </w:r>
      <w:r>
        <w:rPr>
          <w:color w:val="000000"/>
          <w:shd w:val="clear" w:color="auto" w:fill="FFFFFF"/>
        </w:rPr>
        <w:t>busca</w:t>
      </w:r>
      <w:r w:rsidR="00733135">
        <w:rPr>
          <w:color w:val="000000"/>
          <w:shd w:val="clear" w:color="auto" w:fill="FFFFFF"/>
        </w:rPr>
        <w:t>r</w:t>
      </w:r>
      <w:r>
        <w:rPr>
          <w:color w:val="000000"/>
          <w:shd w:val="clear" w:color="auto" w:fill="FFFFFF"/>
        </w:rPr>
        <w:t xml:space="preserve"> ocupar cargo no Senado Federal ou a Presidência da República e que a (2) ambição regressiva seja representada pelo cargo de deputado tanto em âmbito estadual quanto federal. </w:t>
      </w:r>
    </w:p>
    <w:p w:rsidR="002D07C8" w:rsidRDefault="002D07C8" w:rsidP="002D07C8">
      <w:pPr>
        <w:spacing w:line="360" w:lineRule="auto"/>
        <w:ind w:firstLine="708"/>
        <w:jc w:val="both"/>
      </w:pPr>
      <w:r>
        <w:rPr>
          <w:color w:val="000000"/>
          <w:shd w:val="clear" w:color="auto" w:fill="FFFFFF"/>
        </w:rPr>
        <w:t xml:space="preserve">A análise desse indicador observa o cargo exercido pelos políticos no período anterior ao cargo de governador e o cargo exercido no turno eleitoral após a sua saída do cargo executivo em âmbito subnacional. </w:t>
      </w:r>
      <w:r>
        <w:t xml:space="preserve">Para a eleição do indicador, parte-se do pressuposto que cabe a esse ator </w:t>
      </w:r>
      <w:r w:rsidR="00C21B8B">
        <w:t xml:space="preserve">o </w:t>
      </w:r>
      <w:r>
        <w:t>estabelecimento dos contornos da ação internacional do estado em termos da escolha em atuar ou não internacionalmente, o grau dessa atuação</w:t>
      </w:r>
      <w:r w:rsidR="00C21B8B">
        <w:t>,</w:t>
      </w:r>
      <w:r>
        <w:t xml:space="preserve"> bem como a manutenção ou abertura de uma estrutura dedicada às relações internacionais do governo. D</w:t>
      </w:r>
      <w:r>
        <w:rPr>
          <w:color w:val="000000"/>
          <w:shd w:val="clear" w:color="auto" w:fill="FFFFFF"/>
        </w:rPr>
        <w:t xml:space="preserve">efende-se, assim, que um governador com ambição progressiva tende a </w:t>
      </w:r>
      <w:r w:rsidRPr="00502857">
        <w:rPr>
          <w:color w:val="000000"/>
          <w:shd w:val="clear" w:color="auto" w:fill="FFFFFF"/>
        </w:rPr>
        <w:t>adot</w:t>
      </w:r>
      <w:r>
        <w:rPr>
          <w:color w:val="000000"/>
          <w:shd w:val="clear" w:color="auto" w:fill="FFFFFF"/>
        </w:rPr>
        <w:t>ar</w:t>
      </w:r>
      <w:r w:rsidRPr="00502857">
        <w:rPr>
          <w:color w:val="000000"/>
          <w:shd w:val="clear" w:color="auto" w:fill="FFFFFF"/>
        </w:rPr>
        <w:t xml:space="preserve"> um p</w:t>
      </w:r>
      <w:r w:rsidRPr="00502857">
        <w:t xml:space="preserve">apel coordenador/indutor </w:t>
      </w:r>
      <w:r>
        <w:t>em direção à</w:t>
      </w:r>
      <w:r w:rsidR="00CA3C54">
        <w:t xml:space="preserve"> </w:t>
      </w:r>
      <w:r>
        <w:t>racionalização</w:t>
      </w:r>
      <w:r w:rsidR="00CA3C54">
        <w:t xml:space="preserve"> da política exterior tanto em termos cooperativos quanto em termos competitivos.</w:t>
      </w:r>
      <w:r>
        <w:t xml:space="preserve"> (MILANI; RIBEIRO, 2010, p. 35).</w:t>
      </w:r>
    </w:p>
    <w:p w:rsidR="002D07C8" w:rsidRDefault="00C21B8B" w:rsidP="002D07C8">
      <w:pPr>
        <w:spacing w:line="360" w:lineRule="auto"/>
        <w:ind w:firstLine="708"/>
        <w:jc w:val="both"/>
        <w:rPr>
          <w:color w:val="000000" w:themeColor="text1"/>
        </w:rPr>
      </w:pPr>
      <w:r w:rsidRPr="006D5EB2">
        <w:rPr>
          <w:color w:val="000000" w:themeColor="text1"/>
        </w:rPr>
        <w:t xml:space="preserve">Os dados que compõe a estratégia de coleta para </w:t>
      </w:r>
      <w:r w:rsidRPr="006D5EB2">
        <w:rPr>
          <w:color w:val="000000" w:themeColor="text1"/>
          <w:shd w:val="clear" w:color="auto" w:fill="FFFFFF"/>
        </w:rPr>
        <w:t>o presente indicador têm</w:t>
      </w:r>
      <w:r w:rsidR="002D07C8" w:rsidRPr="006D5EB2">
        <w:rPr>
          <w:color w:val="000000" w:themeColor="text1"/>
          <w:shd w:val="clear" w:color="auto" w:fill="FFFFFF"/>
        </w:rPr>
        <w:t xml:space="preserve"> origem, para o caso argentino, no trabalho de Campomar, B., &amp; Delneri</w:t>
      </w:r>
      <w:r w:rsidR="002D07C8" w:rsidRPr="006D5EB2">
        <w:rPr>
          <w:rStyle w:val="Refdenotaderodap"/>
          <w:color w:val="000000" w:themeColor="text1"/>
          <w:shd w:val="clear" w:color="auto" w:fill="FFFFFF"/>
        </w:rPr>
        <w:footnoteReference w:id="6"/>
      </w:r>
      <w:r w:rsidR="002D07C8" w:rsidRPr="006D5EB2">
        <w:rPr>
          <w:color w:val="000000" w:themeColor="text1"/>
          <w:shd w:val="clear" w:color="auto" w:fill="FFFFFF"/>
        </w:rPr>
        <w:t xml:space="preserve"> (2012). Para o </w:t>
      </w:r>
      <w:r w:rsidR="002D07C8" w:rsidRPr="006D5EB2">
        <w:rPr>
          <w:color w:val="000000" w:themeColor="text1"/>
          <w:shd w:val="clear" w:color="auto" w:fill="FFFFFF"/>
        </w:rPr>
        <w:lastRenderedPageBreak/>
        <w:t>caso Brasileiro em relação aos deputados federais e estaduais</w:t>
      </w:r>
      <w:r w:rsidR="002D07C8" w:rsidRPr="006D5EB2">
        <w:rPr>
          <w:rStyle w:val="Refdenotaderodap"/>
          <w:color w:val="000000" w:themeColor="text1"/>
          <w:shd w:val="clear" w:color="auto" w:fill="FFFFFF"/>
        </w:rPr>
        <w:footnoteReference w:id="7"/>
      </w:r>
      <w:r w:rsidR="002D07C8" w:rsidRPr="006D5EB2">
        <w:rPr>
          <w:color w:val="000000" w:themeColor="text1"/>
          <w:shd w:val="clear" w:color="auto" w:fill="FFFFFF"/>
        </w:rPr>
        <w:t xml:space="preserve"> (eleições de </w:t>
      </w:r>
      <w:r w:rsidR="002D07C8" w:rsidRPr="006D5EB2">
        <w:rPr>
          <w:color w:val="000000" w:themeColor="text1"/>
          <w:szCs w:val="20"/>
        </w:rPr>
        <w:t xml:space="preserve">2002 e </w:t>
      </w:r>
      <w:r w:rsidR="002D07C8" w:rsidRPr="006D5EB2">
        <w:rPr>
          <w:color w:val="000000" w:themeColor="text1"/>
        </w:rPr>
        <w:t>2014)</w:t>
      </w:r>
      <w:r w:rsidR="002D07C8" w:rsidRPr="006D5EB2">
        <w:rPr>
          <w:color w:val="000000" w:themeColor="text1"/>
          <w:shd w:val="clear" w:color="auto" w:fill="FFFFFF"/>
        </w:rPr>
        <w:t xml:space="preserve"> bem como senadores (</w:t>
      </w:r>
      <w:r w:rsidR="002D07C8" w:rsidRPr="006D5EB2">
        <w:rPr>
          <w:color w:val="000000" w:themeColor="text1"/>
        </w:rPr>
        <w:t>52ª - 2003-2007)</w:t>
      </w:r>
      <w:r>
        <w:rPr>
          <w:color w:val="000000" w:themeColor="text1"/>
        </w:rPr>
        <w:t xml:space="preserve">, </w:t>
      </w:r>
      <w:r w:rsidR="002D07C8" w:rsidRPr="006D5EB2">
        <w:rPr>
          <w:color w:val="000000" w:themeColor="text1"/>
          <w:shd w:val="clear" w:color="auto" w:fill="FFFFFF"/>
        </w:rPr>
        <w:t>recorremos às bases de dados do Observatório de Elites Políticas e Sociais do Brasil</w:t>
      </w:r>
      <w:r w:rsidR="002D07C8" w:rsidRPr="006D5EB2">
        <w:rPr>
          <w:rStyle w:val="Refdenotaderodap"/>
          <w:color w:val="000000" w:themeColor="text1"/>
          <w:shd w:val="clear" w:color="auto" w:fill="FFFFFF"/>
        </w:rPr>
        <w:footnoteReference w:id="8"/>
      </w:r>
      <w:r w:rsidR="002D07C8" w:rsidRPr="006D5EB2">
        <w:rPr>
          <w:color w:val="000000" w:themeColor="text1"/>
          <w:shd w:val="clear" w:color="auto" w:fill="FFFFFF"/>
        </w:rPr>
        <w:t xml:space="preserve"> (UFPR). De forma complementar para os dois países</w:t>
      </w:r>
      <w:r>
        <w:rPr>
          <w:color w:val="000000" w:themeColor="text1"/>
          <w:shd w:val="clear" w:color="auto" w:fill="FFFFFF"/>
        </w:rPr>
        <w:t>,</w:t>
      </w:r>
      <w:r w:rsidR="002D07C8" w:rsidRPr="006D5EB2">
        <w:rPr>
          <w:color w:val="000000" w:themeColor="text1"/>
          <w:shd w:val="clear" w:color="auto" w:fill="FFFFFF"/>
        </w:rPr>
        <w:t xml:space="preserve"> recor</w:t>
      </w:r>
      <w:r w:rsidR="00CA3C54">
        <w:rPr>
          <w:color w:val="000000" w:themeColor="text1"/>
          <w:shd w:val="clear" w:color="auto" w:fill="FFFFFF"/>
        </w:rPr>
        <w:t xml:space="preserve">remos à base de dados do sobre </w:t>
      </w:r>
      <w:r w:rsidRPr="006D5EB2">
        <w:rPr>
          <w:color w:val="000000" w:themeColor="text1"/>
        </w:rPr>
        <w:t>Biografias</w:t>
      </w:r>
      <w:r w:rsidR="002D07C8" w:rsidRPr="006D5EB2">
        <w:rPr>
          <w:color w:val="000000" w:themeColor="text1"/>
        </w:rPr>
        <w:t xml:space="preserve"> de Líderes Políticos do CIDOB</w:t>
      </w:r>
      <w:r w:rsidR="002D07C8">
        <w:rPr>
          <w:color w:val="000000" w:themeColor="text1"/>
        </w:rPr>
        <w:t xml:space="preserve">. Para a análise dos dados adotaremos os tipos de estratégia: i) </w:t>
      </w:r>
      <w:r w:rsidR="002D07C8">
        <w:rPr>
          <w:color w:val="000000"/>
          <w:shd w:val="clear" w:color="auto" w:fill="FFFFFF"/>
        </w:rPr>
        <w:t>retirada do jogo político; ii) ambição regressiva; iii) ambição progressiva.</w:t>
      </w:r>
    </w:p>
    <w:p w:rsidR="002D07C8" w:rsidRPr="006D5EB2" w:rsidRDefault="002D07C8" w:rsidP="00BF3DA5">
      <w:pPr>
        <w:ind w:firstLine="708"/>
        <w:jc w:val="both"/>
        <w:rPr>
          <w:color w:val="000000" w:themeColor="text1"/>
          <w:shd w:val="clear" w:color="auto" w:fill="FFFFFF"/>
        </w:rPr>
      </w:pPr>
    </w:p>
    <w:p w:rsidR="002D07C8" w:rsidRDefault="002D07C8" w:rsidP="00877D00">
      <w:pPr>
        <w:pStyle w:val="PargrafodaLista"/>
        <w:numPr>
          <w:ilvl w:val="2"/>
          <w:numId w:val="29"/>
        </w:numPr>
        <w:jc w:val="both"/>
        <w:rPr>
          <w:rFonts w:ascii="Times New Roman" w:hAnsi="Times New Roman"/>
          <w:b/>
          <w:sz w:val="24"/>
        </w:rPr>
      </w:pPr>
      <w:r w:rsidRPr="00236920">
        <w:rPr>
          <w:rFonts w:ascii="Times New Roman" w:hAnsi="Times New Roman"/>
          <w:b/>
          <w:sz w:val="24"/>
        </w:rPr>
        <w:t>Capacidade de Cooperação</w:t>
      </w:r>
      <w:r>
        <w:rPr>
          <w:rFonts w:ascii="Times New Roman" w:hAnsi="Times New Roman"/>
          <w:b/>
          <w:sz w:val="24"/>
        </w:rPr>
        <w:t xml:space="preserve"> (H</w:t>
      </w:r>
      <w:r w:rsidRPr="00236920">
        <w:rPr>
          <w:rFonts w:ascii="Times New Roman" w:hAnsi="Times New Roman"/>
          <w:b/>
          <w:sz w:val="24"/>
        </w:rPr>
        <w:t>3)</w:t>
      </w:r>
    </w:p>
    <w:p w:rsidR="002D07C8" w:rsidRDefault="002D07C8" w:rsidP="002D07C8">
      <w:pPr>
        <w:spacing w:line="360" w:lineRule="auto"/>
        <w:ind w:firstLine="360"/>
        <w:jc w:val="both"/>
      </w:pPr>
      <w:r>
        <w:t xml:space="preserve">De acordo com Daniel Elazar </w:t>
      </w:r>
      <w:r w:rsidRPr="00A53D64">
        <w:t xml:space="preserve">“todo sistema federal, para ser </w:t>
      </w:r>
      <w:r w:rsidR="00281052" w:rsidRPr="00A53D64">
        <w:t>bem-sucedido</w:t>
      </w:r>
      <w:r w:rsidRPr="00A53D64">
        <w:t>, deve desenvolver um equilíbrio adequado entre cooperação e competição e entre o governo central e seus componentes” (ELAZAR, 1993, p. 193)</w:t>
      </w:r>
      <w:r>
        <w:t xml:space="preserve">. No mesmo sentido, como já apontado, ao refletir sobre a dimensão internacional do federalismo, Soldatos (1990) considera a “racionalização de política exterior” como a aceitação e </w:t>
      </w:r>
      <w:r w:rsidR="00281052">
        <w:t>até</w:t>
      </w:r>
      <w:r>
        <w:t xml:space="preserve"> mesmo coordenação ou monitoramento do governo federal da ação internacional das unidades subnacionais. </w:t>
      </w:r>
    </w:p>
    <w:p w:rsidR="00EC6767" w:rsidRDefault="00EC6767" w:rsidP="00EC6767">
      <w:pPr>
        <w:spacing w:line="360" w:lineRule="auto"/>
        <w:ind w:firstLine="708"/>
        <w:jc w:val="both"/>
      </w:pPr>
      <w:r>
        <w:t>De partida, cabe apontar o imperativo de investigação e equalização do debate teórico entre a literatura sobre federalismo e as relações internacionais</w:t>
      </w:r>
      <w:r w:rsidR="00485CA3">
        <w:t>, de mane</w:t>
      </w:r>
      <w:r w:rsidR="00160C65">
        <w:t>i</w:t>
      </w:r>
      <w:r w:rsidR="00485CA3">
        <w:t xml:space="preserve">ra destacada, </w:t>
      </w:r>
      <w:r>
        <w:t xml:space="preserve">no caso em na análise </w:t>
      </w:r>
      <w:r w:rsidR="00485CA3">
        <w:t xml:space="preserve">nessa dissertação, </w:t>
      </w:r>
      <w:r>
        <w:t xml:space="preserve">o impacto desse desenho institucional para política exterior. Entendemos que o presente trabalho integra um esforço nesse sentido, embora </w:t>
      </w:r>
      <w:r w:rsidR="00894B6C">
        <w:t xml:space="preserve">não trate de maneira extensiva </w:t>
      </w:r>
      <w:r>
        <w:t>a d</w:t>
      </w:r>
      <w:r w:rsidR="00E42469">
        <w:t>imensão normativa desse diálogo</w:t>
      </w:r>
      <w:r>
        <w:t>, dedicando – se, então, a participar da ag</w:t>
      </w:r>
      <w:r w:rsidR="00E42469">
        <w:t>e</w:t>
      </w:r>
      <w:r>
        <w:t xml:space="preserve">nda </w:t>
      </w:r>
      <w:r w:rsidR="00E42469">
        <w:t xml:space="preserve">de pesquisa </w:t>
      </w:r>
      <w:r>
        <w:t xml:space="preserve">por meio de um esforço exploratórico – empírico do estudo de caso em questão. </w:t>
      </w:r>
    </w:p>
    <w:p w:rsidR="002D07C8" w:rsidRPr="00AC6370" w:rsidRDefault="00485CA3" w:rsidP="002D07C8">
      <w:pPr>
        <w:spacing w:line="360" w:lineRule="auto"/>
        <w:ind w:firstLine="360"/>
        <w:jc w:val="both"/>
        <w:rPr>
          <w:i/>
          <w:sz w:val="28"/>
        </w:rPr>
      </w:pPr>
      <w:r>
        <w:t>Dito isto, em atenção ao caso brasileiro,</w:t>
      </w:r>
      <w:r w:rsidR="002D07C8">
        <w:t xml:space="preserve"> Vigevani (2006</w:t>
      </w:r>
      <w:r w:rsidR="00200711">
        <w:t>, p.</w:t>
      </w:r>
      <w:r w:rsidR="002D07C8">
        <w:t xml:space="preserve"> 133) defende que um dos maiores desafios da paradiplomacia no Brasil seria a união dos interesses dos governos locais e os objetivos do Estado Nacional. Barreto (2005) por sua vez, afirma que a ação internacional das unidades subnacionais se amplia </w:t>
      </w:r>
      <w:r w:rsidR="002D07C8" w:rsidRPr="00AC6370">
        <w:t>“se for estrategicamente conduzida numa perspectiva de cooperação com o Estado nacional, tendo em vista a articulação de parceria voltada à compatibilização das agendas nacional, local, regional e à maximização das capacidades</w:t>
      </w:r>
      <w:r w:rsidR="002D07C8">
        <w:t>”</w:t>
      </w:r>
      <w:r w:rsidR="00200711">
        <w:t xml:space="preserve"> (Barreto, 2005 p. 10)</w:t>
      </w:r>
      <w:r w:rsidR="002D07C8" w:rsidRPr="00AC6370">
        <w:t>.</w:t>
      </w:r>
    </w:p>
    <w:p w:rsidR="002D07C8" w:rsidRPr="00AC6370" w:rsidRDefault="002D07C8" w:rsidP="002D07C8">
      <w:pPr>
        <w:spacing w:line="360" w:lineRule="auto"/>
        <w:ind w:firstLine="360"/>
        <w:jc w:val="both"/>
      </w:pPr>
      <w:r w:rsidRPr="00AC6370">
        <w:lastRenderedPageBreak/>
        <w:t>Dessa maneira, o argumento em torno da mobilização da dimensão da cooperação</w:t>
      </w:r>
      <w:r>
        <w:t xml:space="preserve"> do federalismo como foco n</w:t>
      </w:r>
      <w:r w:rsidRPr="00AC6370">
        <w:t>a investigação da “racionalização da política exterior</w:t>
      </w:r>
      <w:r>
        <w:t>” considera que, num ambiente cooperativo</w:t>
      </w:r>
      <w:r w:rsidR="00200711">
        <w:t xml:space="preserve">, existiria </w:t>
      </w:r>
      <w:r>
        <w:t>entre os entes federados i) a ampliação do potencial de negociação, ii) a compatibilização e formação de uma sintonia em temas internacionais, iii) proporciona</w:t>
      </w:r>
      <w:r w:rsidR="00200711">
        <w:t>ria</w:t>
      </w:r>
      <w:r>
        <w:t xml:space="preserve"> um</w:t>
      </w:r>
      <w:r w:rsidR="00200711">
        <w:t>a</w:t>
      </w:r>
      <w:r>
        <w:t xml:space="preserve"> maior capacidade em colocar </w:t>
      </w:r>
      <w:r w:rsidR="00200711">
        <w:t>determinados</w:t>
      </w:r>
      <w:r>
        <w:t xml:space="preserve"> tema</w:t>
      </w:r>
      <w:r w:rsidR="00E42469">
        <w:t>s</w:t>
      </w:r>
      <w:r>
        <w:t xml:space="preserve"> na agenda</w:t>
      </w:r>
      <w:r w:rsidR="00200711">
        <w:t xml:space="preserve"> conjunta</w:t>
      </w:r>
      <w:r>
        <w:t xml:space="preserve">. </w:t>
      </w:r>
    </w:p>
    <w:p w:rsidR="002D07C8" w:rsidRDefault="002D07C8" w:rsidP="002D07C8">
      <w:pPr>
        <w:spacing w:line="360" w:lineRule="auto"/>
        <w:ind w:firstLine="360"/>
        <w:jc w:val="both"/>
      </w:pPr>
      <w:r w:rsidRPr="00AC6370">
        <w:t>Nesse âmbito a tabela abaixo aponta os indicadores elegidos para a operacionalização da capacidade em cooperar no contexto de racionalização da política exterior</w:t>
      </w:r>
    </w:p>
    <w:tbl>
      <w:tblPr>
        <w:tblW w:w="7907" w:type="dxa"/>
        <w:jc w:val="center"/>
        <w:tblCellMar>
          <w:left w:w="70" w:type="dxa"/>
          <w:right w:w="70" w:type="dxa"/>
        </w:tblCellMar>
        <w:tblLook w:val="04A0"/>
      </w:tblPr>
      <w:tblGrid>
        <w:gridCol w:w="7907"/>
      </w:tblGrid>
      <w:tr w:rsidR="002D07C8" w:rsidRPr="003A0321" w:rsidTr="002E272D">
        <w:trPr>
          <w:trHeight w:val="300"/>
          <w:jc w:val="center"/>
        </w:trPr>
        <w:tc>
          <w:tcPr>
            <w:tcW w:w="7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07C8" w:rsidRPr="00DE6EA8" w:rsidRDefault="00AE568B" w:rsidP="00AE568B">
            <w:pPr>
              <w:jc w:val="center"/>
              <w:rPr>
                <w:b/>
                <w:color w:val="000000"/>
              </w:rPr>
            </w:pPr>
            <w:r>
              <w:rPr>
                <w:b/>
                <w:color w:val="000000"/>
                <w:szCs w:val="22"/>
              </w:rPr>
              <w:t xml:space="preserve">Quadro Resumo 4: </w:t>
            </w:r>
            <w:r w:rsidR="002D07C8" w:rsidRPr="00DE6EA8">
              <w:rPr>
                <w:b/>
                <w:color w:val="000000"/>
                <w:szCs w:val="22"/>
              </w:rPr>
              <w:t>Capacidade de Cooperação (Hi3)</w:t>
            </w:r>
          </w:p>
        </w:tc>
      </w:tr>
      <w:tr w:rsidR="002D07C8" w:rsidRPr="003A0321" w:rsidTr="002E272D">
        <w:trPr>
          <w:trHeight w:val="300"/>
          <w:jc w:val="center"/>
        </w:trPr>
        <w:tc>
          <w:tcPr>
            <w:tcW w:w="7907" w:type="dxa"/>
            <w:tcBorders>
              <w:top w:val="nil"/>
              <w:left w:val="single" w:sz="4" w:space="0" w:color="auto"/>
              <w:bottom w:val="nil"/>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 xml:space="preserve">Partido do Governador é o mesmo do Presidente </w:t>
            </w:r>
          </w:p>
        </w:tc>
      </w:tr>
      <w:tr w:rsidR="002D07C8" w:rsidRPr="003A0321" w:rsidTr="002E272D">
        <w:trPr>
          <w:trHeight w:val="300"/>
          <w:jc w:val="center"/>
        </w:trPr>
        <w:tc>
          <w:tcPr>
            <w:tcW w:w="7907" w:type="dxa"/>
            <w:tcBorders>
              <w:top w:val="nil"/>
              <w:left w:val="single" w:sz="4" w:space="0" w:color="auto"/>
              <w:bottom w:val="single" w:sz="4" w:space="0" w:color="auto"/>
              <w:right w:val="single" w:sz="4" w:space="0" w:color="auto"/>
            </w:tcBorders>
            <w:shd w:val="clear" w:color="auto" w:fill="auto"/>
            <w:noWrap/>
            <w:vAlign w:val="bottom"/>
            <w:hideMark/>
          </w:tcPr>
          <w:p w:rsidR="002D07C8" w:rsidRPr="003A0321" w:rsidRDefault="002D07C8" w:rsidP="002E272D">
            <w:pPr>
              <w:jc w:val="center"/>
              <w:rPr>
                <w:color w:val="000000"/>
              </w:rPr>
            </w:pPr>
            <w:r w:rsidRPr="003A0321">
              <w:rPr>
                <w:color w:val="000000"/>
                <w:szCs w:val="22"/>
              </w:rPr>
              <w:t>Partido do governador faz parte da coligação de governo nacional</w:t>
            </w:r>
          </w:p>
        </w:tc>
      </w:tr>
    </w:tbl>
    <w:p w:rsidR="002D07C8" w:rsidRPr="00C60F00" w:rsidRDefault="002D07C8" w:rsidP="002D07C8">
      <w:pPr>
        <w:pStyle w:val="PargrafodaLista"/>
        <w:ind w:left="360"/>
        <w:jc w:val="center"/>
        <w:rPr>
          <w:rFonts w:ascii="Times New Roman" w:hAnsi="Times New Roman"/>
          <w:sz w:val="24"/>
        </w:rPr>
      </w:pPr>
      <w:r w:rsidRPr="00C60F00">
        <w:rPr>
          <w:rFonts w:ascii="Times New Roman" w:hAnsi="Times New Roman"/>
          <w:sz w:val="24"/>
        </w:rPr>
        <w:t>Elaborado pelo autor</w:t>
      </w:r>
    </w:p>
    <w:p w:rsidR="002D07C8" w:rsidRDefault="002D07C8" w:rsidP="002D07C8">
      <w:pPr>
        <w:spacing w:line="360" w:lineRule="auto"/>
        <w:ind w:firstLine="360"/>
        <w:jc w:val="both"/>
      </w:pPr>
      <w:r>
        <w:t xml:space="preserve">Na </w:t>
      </w:r>
      <w:r w:rsidR="00200711">
        <w:t>sequência, abordaremos</w:t>
      </w:r>
      <w:r>
        <w:t>, de forma pormenorizada, cada indicador considerado nessa dimensão.</w:t>
      </w:r>
      <w:r w:rsidR="00C325F3">
        <w:t xml:space="preserve"> </w:t>
      </w:r>
      <w:r>
        <w:t xml:space="preserve">No entanto, de partida, apontamos que nossa pretensão </w:t>
      </w:r>
      <w:r w:rsidRPr="000D5359">
        <w:t xml:space="preserve">com os dois indicadores que compõem esse determinante </w:t>
      </w:r>
      <w:r w:rsidR="00200711">
        <w:t>consiste em</w:t>
      </w:r>
      <w:r w:rsidR="00C325F3">
        <w:t xml:space="preserve"> </w:t>
      </w:r>
      <w:r w:rsidRPr="000D5359">
        <w:t xml:space="preserve">observar se </w:t>
      </w:r>
      <w:r w:rsidR="00200711">
        <w:t>existiria</w:t>
      </w:r>
      <w:r w:rsidRPr="000D5359">
        <w:t xml:space="preserve"> influência ideológica</w:t>
      </w:r>
      <w:r>
        <w:t>-partidária,</w:t>
      </w:r>
      <w:r w:rsidRPr="000D5359">
        <w:t xml:space="preserve"> no caso do primeiro,</w:t>
      </w:r>
      <w:r>
        <w:t xml:space="preserve"> e ampliação </w:t>
      </w:r>
      <w:r w:rsidR="00A87A4B">
        <w:t xml:space="preserve">da cooperação federativa </w:t>
      </w:r>
      <w:r>
        <w:t>via coligação, no caso do segundo indicador</w:t>
      </w:r>
      <w:r w:rsidR="00A87A4B">
        <w:t>.</w:t>
      </w:r>
    </w:p>
    <w:p w:rsidR="00200711" w:rsidRPr="000D5359" w:rsidRDefault="00200711" w:rsidP="00BC7BFD">
      <w:pPr>
        <w:ind w:firstLine="360"/>
        <w:jc w:val="both"/>
      </w:pPr>
    </w:p>
    <w:p w:rsidR="002D07C8" w:rsidRPr="006E19C4" w:rsidRDefault="002D07C8" w:rsidP="002D07C8">
      <w:pPr>
        <w:pStyle w:val="PargrafodaLista"/>
        <w:numPr>
          <w:ilvl w:val="0"/>
          <w:numId w:val="27"/>
        </w:numPr>
        <w:jc w:val="both"/>
        <w:rPr>
          <w:rFonts w:ascii="Times New Roman" w:hAnsi="Times New Roman"/>
          <w:b/>
          <w:sz w:val="24"/>
        </w:rPr>
      </w:pPr>
      <w:r w:rsidRPr="00A210CB">
        <w:rPr>
          <w:rFonts w:ascii="Times New Roman" w:hAnsi="Times New Roman"/>
          <w:b/>
          <w:color w:val="000000"/>
          <w:sz w:val="24"/>
        </w:rPr>
        <w:t>Partido do Governador é o mesmo do Presidente</w:t>
      </w:r>
    </w:p>
    <w:p w:rsidR="002D07C8" w:rsidRPr="000D5359" w:rsidRDefault="007A33E5" w:rsidP="002D07C8">
      <w:pPr>
        <w:spacing w:line="360" w:lineRule="auto"/>
        <w:ind w:firstLine="360"/>
        <w:jc w:val="both"/>
      </w:pPr>
      <w:r>
        <w:t>D</w:t>
      </w:r>
      <w:r w:rsidR="002D07C8">
        <w:t xml:space="preserve">e acordo com Kincaid (1984 p 104) </w:t>
      </w:r>
      <w:r w:rsidR="002D07C8" w:rsidRPr="00F66443">
        <w:t>"as preferências individuais, as afiliações partidárias e a pressão da opinião do círculo eleitoral podem levar um governador a expressar opinião sobre qualq</w:t>
      </w:r>
      <w:r w:rsidR="002D07C8">
        <w:t xml:space="preserve">uer questão de política externa” </w:t>
      </w:r>
      <w:r w:rsidR="002D07C8">
        <w:rPr>
          <w:rStyle w:val="Refdenotaderodap"/>
        </w:rPr>
        <w:footnoteReference w:id="9"/>
      </w:r>
      <w:r w:rsidR="002D07C8">
        <w:t xml:space="preserve">. Nesse contexto, partimos do pressuposto que ao compartilharem do signo ideológico há um maior espaço para a cooperação </w:t>
      </w:r>
      <w:r w:rsidR="00FC2B19">
        <w:t xml:space="preserve">entre os dois níveis de governo </w:t>
      </w:r>
      <w:r w:rsidR="002D07C8">
        <w:t xml:space="preserve">ampliando a capacidade de uma racionalização da política exterior. Para a análise desse indicador, </w:t>
      </w:r>
      <w:r w:rsidR="00EC1893">
        <w:t>os</w:t>
      </w:r>
      <w:r w:rsidR="002D07C8">
        <w:t xml:space="preserve"> dados para os partidos governantes em cada estado foram obtidos a partir dos resultados eleitorais de 1994, 1998, 2002 e 2006 disponibilizados pelo Tribunal Superior Eleitoral. Os dados serão apresentados de forma dicotômica se o partido do presidente é o mesmo que o governador.</w:t>
      </w:r>
    </w:p>
    <w:p w:rsidR="002D07C8" w:rsidRDefault="002D07C8" w:rsidP="002D07C8">
      <w:pPr>
        <w:jc w:val="both"/>
        <w:rPr>
          <w:b/>
        </w:rPr>
      </w:pPr>
    </w:p>
    <w:p w:rsidR="0052440F" w:rsidRDefault="0052440F" w:rsidP="002D07C8">
      <w:pPr>
        <w:jc w:val="both"/>
        <w:rPr>
          <w:b/>
        </w:rPr>
      </w:pPr>
    </w:p>
    <w:p w:rsidR="0052440F" w:rsidRDefault="0052440F" w:rsidP="002D07C8">
      <w:pPr>
        <w:jc w:val="both"/>
        <w:rPr>
          <w:b/>
        </w:rPr>
      </w:pPr>
    </w:p>
    <w:p w:rsidR="002D07C8" w:rsidRPr="00A210CB" w:rsidRDefault="002D07C8" w:rsidP="002D07C8">
      <w:pPr>
        <w:pStyle w:val="PargrafodaLista"/>
        <w:numPr>
          <w:ilvl w:val="0"/>
          <w:numId w:val="27"/>
        </w:numPr>
        <w:jc w:val="both"/>
        <w:rPr>
          <w:rFonts w:ascii="Times New Roman" w:hAnsi="Times New Roman"/>
          <w:b/>
          <w:sz w:val="24"/>
        </w:rPr>
      </w:pPr>
      <w:r w:rsidRPr="006E19C4">
        <w:rPr>
          <w:rFonts w:ascii="Times New Roman" w:hAnsi="Times New Roman"/>
          <w:b/>
          <w:color w:val="000000"/>
          <w:sz w:val="24"/>
        </w:rPr>
        <w:lastRenderedPageBreak/>
        <w:t>Partido do governador faz parte da coligação de governo nacional</w:t>
      </w:r>
    </w:p>
    <w:p w:rsidR="00966E8E" w:rsidRDefault="00724463" w:rsidP="00724463">
      <w:pPr>
        <w:autoSpaceDE w:val="0"/>
        <w:autoSpaceDN w:val="0"/>
        <w:adjustRightInd w:val="0"/>
        <w:spacing w:line="360" w:lineRule="auto"/>
        <w:ind w:firstLine="360"/>
        <w:jc w:val="both"/>
        <w:rPr>
          <w:color w:val="000000"/>
          <w:szCs w:val="20"/>
        </w:rPr>
      </w:pPr>
      <w:r w:rsidRPr="00724463">
        <w:rPr>
          <w:color w:val="000000"/>
          <w:szCs w:val="20"/>
        </w:rPr>
        <w:t xml:space="preserve">Um dos debates que concentraram um conjunto significativo de autores no momento de redemocratização na América Latina esteve relacionado à estabilidade e a arquitetura institucional que emergia nesse contexto. </w:t>
      </w:r>
      <w:r>
        <w:rPr>
          <w:color w:val="000000"/>
          <w:szCs w:val="20"/>
        </w:rPr>
        <w:t xml:space="preserve">Nesse sentido, dois eixos do desenho institucional foram objeto de destaque: multipartidarismo e sistemas presidencialistas. Para parte dos autores, essa combinação levaria necessariamente a instabilidade e colocaria em risco as democracias nascentes na região </w:t>
      </w:r>
      <w:r w:rsidR="0052440F">
        <w:rPr>
          <w:color w:val="000000"/>
          <w:szCs w:val="20"/>
        </w:rPr>
        <w:t>(Mainwaring 1993; Stepan e</w:t>
      </w:r>
      <w:r w:rsidRPr="00724463">
        <w:rPr>
          <w:color w:val="000000"/>
          <w:szCs w:val="20"/>
        </w:rPr>
        <w:t xml:space="preserve"> Skach 1993)</w:t>
      </w:r>
      <w:r>
        <w:rPr>
          <w:color w:val="000000"/>
          <w:szCs w:val="20"/>
        </w:rPr>
        <w:t xml:space="preserve">. </w:t>
      </w:r>
    </w:p>
    <w:p w:rsidR="00966E8E" w:rsidRDefault="00724463" w:rsidP="0052440F">
      <w:pPr>
        <w:autoSpaceDE w:val="0"/>
        <w:autoSpaceDN w:val="0"/>
        <w:adjustRightInd w:val="0"/>
        <w:spacing w:line="360" w:lineRule="auto"/>
        <w:ind w:firstLine="360"/>
        <w:jc w:val="both"/>
      </w:pPr>
      <w:r>
        <w:rPr>
          <w:color w:val="000000"/>
          <w:szCs w:val="20"/>
        </w:rPr>
        <w:t>Na direção oposta, p</w:t>
      </w:r>
      <w:r w:rsidR="002D07C8">
        <w:t xml:space="preserve">ara Figueiredo (2007) a crença de que governos parlamentares são singulares em termos de formação de coalizões tem sido desafiada tanto em termos teóricos quanto empíricos. Dessa forma, ao buscarem aumentar seu apoio legislativo as motivações presidenciais não </w:t>
      </w:r>
      <w:r w:rsidR="000C20CF">
        <w:t>costumam se</w:t>
      </w:r>
      <w:r w:rsidR="002D07C8">
        <w:t xml:space="preserve"> diferenciar do estímulo dos primeiro</w:t>
      </w:r>
      <w:r w:rsidR="0052440F">
        <w:t>s</w:t>
      </w:r>
      <w:r w:rsidR="000C20CF">
        <w:t>-</w:t>
      </w:r>
      <w:bookmarkStart w:id="0" w:name="_GoBack"/>
      <w:bookmarkEnd w:id="0"/>
      <w:r w:rsidR="002D07C8">
        <w:t xml:space="preserve">ministros. </w:t>
      </w:r>
      <w:r w:rsidR="0052440F">
        <w:t xml:space="preserve">A literartura parte da premissa de que, o tamanho da coalizão gera um tem um impacto positivo no apoio legislativo. Nosso pressuposto na adoção desse indicador diz respeito a refexão de que uma vez que o partido do governador pertença ao bloco de apoio nacional há maior espaço para cooperação federativa entre os distintos níveis de governo. Dessa maneira, pressupomos que participar da coalizão de governo amplia a capacidade para a cooperação na dinâmica de racionalização da política exterior. </w:t>
      </w:r>
    </w:p>
    <w:p w:rsidR="002D07C8" w:rsidRDefault="002D07C8" w:rsidP="002D07C8">
      <w:pPr>
        <w:spacing w:line="360" w:lineRule="auto"/>
        <w:ind w:firstLine="360"/>
        <w:jc w:val="both"/>
      </w:pPr>
      <w:r>
        <w:t>Os dados para os partidos governantes em cada estado foram obtidos a partir dos resultados eleitorais de 1994, 1998, 2002 e 2006 disponibilizados pelo Tribunal Superior Eleitoral e a classificação dos partidos que compunham ou não a coalizão no nível federal</w:t>
      </w:r>
      <w:r w:rsidR="00914ACC">
        <w:t>, no caso brasileiro,</w:t>
      </w:r>
      <w:r>
        <w:t xml:space="preserve"> foi basead</w:t>
      </w:r>
      <w:r w:rsidR="00914ACC">
        <w:t>a</w:t>
      </w:r>
      <w:r w:rsidR="00AE568B">
        <w:t xml:space="preserve"> </w:t>
      </w:r>
      <w:r w:rsidR="00914ACC">
        <w:t xml:space="preserve">no trabalho de </w:t>
      </w:r>
      <w:r>
        <w:t xml:space="preserve">em Figueiredo </w:t>
      </w:r>
      <w:r w:rsidR="00914ACC">
        <w:t>(</w:t>
      </w:r>
      <w:r>
        <w:t>20</w:t>
      </w:r>
      <w:r w:rsidR="00914ACC">
        <w:t>07</w:t>
      </w:r>
      <w:r>
        <w:t>).</w:t>
      </w:r>
      <w:r w:rsidR="00914ACC">
        <w:t xml:space="preserve"> Para o caso argentino, consideramos as reflexões de Novarro (2001) e Carmelo (2013). </w:t>
      </w:r>
      <w:r>
        <w:t>Os dados serão apresentados de forma dicotômica se o partido é da base aliada no âmbito federal ou não.</w:t>
      </w:r>
    </w:p>
    <w:p w:rsidR="00C325F3" w:rsidRPr="009C4674" w:rsidRDefault="00C325F3" w:rsidP="00C325F3">
      <w:pPr>
        <w:ind w:firstLine="360"/>
        <w:jc w:val="both"/>
      </w:pPr>
    </w:p>
    <w:p w:rsidR="009A2EEF" w:rsidRPr="009A2EEF" w:rsidRDefault="0090589A" w:rsidP="009A2EEF">
      <w:pPr>
        <w:spacing w:after="200"/>
        <w:jc w:val="both"/>
        <w:rPr>
          <w:rFonts w:eastAsia="Calibri"/>
          <w:b/>
          <w:bCs/>
          <w:color w:val="000000"/>
        </w:rPr>
      </w:pPr>
      <w:r>
        <w:rPr>
          <w:rFonts w:eastAsia="Calibri"/>
          <w:b/>
          <w:bCs/>
          <w:color w:val="000000"/>
        </w:rPr>
        <w:t>2.3</w:t>
      </w:r>
      <w:r w:rsidR="007A33E5">
        <w:rPr>
          <w:rFonts w:eastAsia="Calibri"/>
          <w:b/>
          <w:bCs/>
          <w:color w:val="000000"/>
        </w:rPr>
        <w:t xml:space="preserve">. </w:t>
      </w:r>
      <w:r w:rsidR="009A2EEF" w:rsidRPr="009A2EEF">
        <w:rPr>
          <w:rFonts w:eastAsia="Calibri"/>
          <w:b/>
          <w:bCs/>
          <w:color w:val="000000"/>
        </w:rPr>
        <w:t>Método Histórico Comparativo</w:t>
      </w:r>
    </w:p>
    <w:p w:rsidR="001A1BEC" w:rsidRDefault="00083FF8" w:rsidP="009A2EEF">
      <w:pPr>
        <w:spacing w:line="360" w:lineRule="auto"/>
        <w:ind w:firstLine="708"/>
        <w:jc w:val="both"/>
      </w:pPr>
      <w:r>
        <w:t>O Método Histórico C</w:t>
      </w:r>
      <w:r w:rsidR="009A2EEF" w:rsidRPr="009A2EEF">
        <w:t>omparativo</w:t>
      </w:r>
      <w:r>
        <w:t xml:space="preserve"> (MHC)</w:t>
      </w:r>
      <w:r w:rsidR="009A2EEF" w:rsidRPr="009A2EEF">
        <w:t xml:space="preserve"> tem por objetivo a análise de causas que incidem sobre determinados processos. Nesse sentido, </w:t>
      </w:r>
      <w:r w:rsidR="00571A14">
        <w:t>o método propõe</w:t>
      </w:r>
      <w:r w:rsidR="009A2EEF" w:rsidRPr="009A2EEF">
        <w:t xml:space="preserve"> identificar os traços e/evidências históricas em diálogo com mecanismos causais que são responsáveis por gerar determinado resultado</w:t>
      </w:r>
      <w:r w:rsidR="00453029">
        <w:t xml:space="preserve">. O </w:t>
      </w:r>
      <w:r>
        <w:t xml:space="preserve">MHC </w:t>
      </w:r>
      <w:r w:rsidR="009A2EEF" w:rsidRPr="009A2EEF">
        <w:t>tem sido empregado de maneira conjunta com a</w:t>
      </w:r>
      <w:r w:rsidR="00453029">
        <w:t xml:space="preserve"> estratégia de </w:t>
      </w:r>
      <w:r w:rsidR="00AE568B">
        <w:t>mapeamento de processo</w:t>
      </w:r>
      <w:r w:rsidR="00966D1F">
        <w:t xml:space="preserve"> e </w:t>
      </w:r>
      <w:r w:rsidR="009A2EEF" w:rsidRPr="009A2EEF">
        <w:t xml:space="preserve"> </w:t>
      </w:r>
      <w:r w:rsidR="00966D1F">
        <w:t>d</w:t>
      </w:r>
      <w:r w:rsidR="009A2EEF" w:rsidRPr="009A2EEF">
        <w:t xml:space="preserve">essa maneira, o primeiro passo demandaria a identificação das hipóteses causais e em seguida a busca de evidências que possam indicar validade das proposições. Nesse ponto, a pesquisa </w:t>
      </w:r>
      <w:r w:rsidR="009A2EEF" w:rsidRPr="009A2EEF">
        <w:lastRenderedPageBreak/>
        <w:t>caminha no sentido de aplicação dos testes das hipóteses na busca de mapear o processo que gerou o resultado observado. Com vista à análise do processo há o imperativo de se definir o</w:t>
      </w:r>
      <w:r w:rsidR="009D1A15">
        <w:t xml:space="preserve"> seu </w:t>
      </w:r>
      <w:r w:rsidR="009A2EEF" w:rsidRPr="009A2EEF">
        <w:t xml:space="preserve">impacto hierarquizando as causas de acordo com as condições identificadas pelo método entre: necessárias e suficientes. </w:t>
      </w:r>
      <w:r w:rsidR="00E66F5C">
        <w:t>A condição necessária é entendida como uma causa que “segundo a qual um resultado não teria ocorrido na ausência dela, mas também que sua presença não bastaria para garantir o resultado” (Mahoney, Kimball e Koivu, 2009:118). Por sua vez, por suficiente entende-se a condidção em que na sua presença há concretização do resultado que se busca explicar.</w:t>
      </w:r>
    </w:p>
    <w:p w:rsidR="009A2EEF" w:rsidRPr="009A2EEF" w:rsidRDefault="009A2EEF" w:rsidP="009A2EEF">
      <w:pPr>
        <w:spacing w:line="360" w:lineRule="auto"/>
        <w:ind w:firstLine="708"/>
        <w:jc w:val="both"/>
        <w:rPr>
          <w:b/>
        </w:rPr>
      </w:pPr>
      <w:r w:rsidRPr="009A2EEF">
        <w:t>Além da definição dessas condições o autor aponta as derivações de tipo INUS e SUIN. Em relação a primeira, a sigla faz menção ao termo em inglês que quer dizer (</w:t>
      </w:r>
      <w:r w:rsidR="00095952">
        <w:t>“</w:t>
      </w:r>
      <w:r w:rsidR="00095952" w:rsidRPr="00095952">
        <w:t>parte insuficiente mas necessária de uma condição que não é necessária, mas suficiente para o resultado</w:t>
      </w:r>
      <w:r w:rsidRPr="009A2EEF">
        <w:t>”) e é caracterizada por ser um condição dentro de uma meta – condição que é suficiente ao fenômen</w:t>
      </w:r>
      <w:r w:rsidR="00C325F3">
        <w:t>o. Por sua vez, a condição SUIN</w:t>
      </w:r>
      <w:r w:rsidRPr="009A2EEF">
        <w:t xml:space="preserve"> também derivada do termo em língua inglesa que quer dizer (</w:t>
      </w:r>
      <w:r w:rsidR="00095952">
        <w:t>“</w:t>
      </w:r>
      <w:r w:rsidR="00095952" w:rsidRPr="00095952">
        <w:t>parte suficiente, mas desnecessária, de um fator insuficiente, mas necessário para o resultado</w:t>
      </w:r>
      <w:r w:rsidR="00095952">
        <w:t>”</w:t>
      </w:r>
      <w:r w:rsidRPr="009A2EEF">
        <w:t>) diz respeito à meta condição que compõem um</w:t>
      </w:r>
      <w:r w:rsidR="009D1A15">
        <w:t>a</w:t>
      </w:r>
      <w:r w:rsidRPr="009A2EEF">
        <w:t xml:space="preserve"> condição necessári</w:t>
      </w:r>
      <w:r w:rsidR="009D1A15">
        <w:t>a</w:t>
      </w:r>
      <w:r w:rsidRPr="009A2EEF">
        <w:t xml:space="preserve"> ao resultado do processo. Como estratégia final cabe ao pesquisador definir quais são as condições necessárias, mas não suficientes; as condições suficientes, mas não necessárias; as condições necessárias e suficientes bem como o papel exercido pelas condições INUS e SUIN (MAHONEY, 2008; AMORIM NETO, RODRIGUEZ, 2016). </w:t>
      </w:r>
    </w:p>
    <w:p w:rsidR="009A2EEF" w:rsidRPr="009A2EEF" w:rsidRDefault="009A2EEF" w:rsidP="009A2EEF">
      <w:pPr>
        <w:rPr>
          <w:b/>
        </w:rPr>
      </w:pPr>
    </w:p>
    <w:p w:rsidR="009A2EEF" w:rsidRDefault="0090589A" w:rsidP="00554D51">
      <w:pPr>
        <w:rPr>
          <w:b/>
        </w:rPr>
      </w:pPr>
      <w:r>
        <w:rPr>
          <w:b/>
        </w:rPr>
        <w:t xml:space="preserve">2.4. </w:t>
      </w:r>
      <w:r w:rsidR="00554D51">
        <w:rPr>
          <w:b/>
        </w:rPr>
        <w:t>O mapeamento de Processo (</w:t>
      </w:r>
      <w:r w:rsidR="009A2EEF" w:rsidRPr="009A2EEF">
        <w:rPr>
          <w:b/>
        </w:rPr>
        <w:t>Process Tracing</w:t>
      </w:r>
      <w:r w:rsidR="00554D51">
        <w:rPr>
          <w:b/>
        </w:rPr>
        <w:t>)</w:t>
      </w:r>
      <w:r w:rsidR="009A2EEF" w:rsidRPr="009A2EEF">
        <w:rPr>
          <w:b/>
        </w:rPr>
        <w:t xml:space="preserve"> </w:t>
      </w:r>
    </w:p>
    <w:p w:rsidR="00554D51" w:rsidRPr="009A2EEF" w:rsidRDefault="00554D51" w:rsidP="00554D51">
      <w:pPr>
        <w:rPr>
          <w:rFonts w:eastAsia="Calibri"/>
          <w:b/>
          <w:bCs/>
          <w:color w:val="000000"/>
        </w:rPr>
      </w:pPr>
    </w:p>
    <w:p w:rsidR="009A2EEF" w:rsidRPr="009A2EEF" w:rsidRDefault="009A2EEF" w:rsidP="009A2EEF">
      <w:pPr>
        <w:spacing w:line="360" w:lineRule="auto"/>
        <w:jc w:val="both"/>
        <w:rPr>
          <w:rFonts w:eastAsia="Calibri"/>
          <w:bCs/>
          <w:color w:val="000000"/>
        </w:rPr>
      </w:pPr>
      <w:r w:rsidRPr="009A2EEF">
        <w:rPr>
          <w:rFonts w:eastAsia="Calibri"/>
          <w:b/>
          <w:bCs/>
          <w:color w:val="000000"/>
        </w:rPr>
        <w:tab/>
      </w:r>
      <w:r w:rsidRPr="009A2EEF">
        <w:rPr>
          <w:rFonts w:eastAsia="Calibri"/>
          <w:bCs/>
          <w:color w:val="000000"/>
        </w:rPr>
        <w:t>O mapeamento de processo (</w:t>
      </w:r>
      <w:r w:rsidRPr="009A2EEF">
        <w:rPr>
          <w:rFonts w:eastAsia="Calibri"/>
          <w:bCs/>
          <w:i/>
          <w:color w:val="000000"/>
        </w:rPr>
        <w:t>process tracing</w:t>
      </w:r>
      <w:r w:rsidRPr="009A2EEF">
        <w:rPr>
          <w:rFonts w:eastAsia="Calibri"/>
          <w:bCs/>
          <w:color w:val="000000"/>
        </w:rPr>
        <w:t>) é definido como uma investigação sistemática de evidências selecionadas e analisadas a luz das perguntas e hipóteses levantadas pelo pesquisador (COLLIER, 2011). Dessa forma, demanda uma descrição detalhada dos casos com vistas a identificação de causa e efeito identificada em termos de condições necessárias e suficientes. Para Collier (2011) o rastreamento do processo é um elemento fundamental para a análise qualitativa, que a despeito de ser frequentemente mencionado pelos pesquisadores, em especial os que se debruçam sobre estudos de ca</w:t>
      </w:r>
      <w:r w:rsidR="00966D1F">
        <w:rPr>
          <w:rFonts w:eastAsia="Calibri"/>
          <w:bCs/>
          <w:color w:val="000000"/>
        </w:rPr>
        <w:t>s</w:t>
      </w:r>
      <w:r w:rsidRPr="009A2EEF">
        <w:rPr>
          <w:rFonts w:eastAsia="Calibri"/>
          <w:bCs/>
          <w:color w:val="000000"/>
        </w:rPr>
        <w:t xml:space="preserve">os, não são compreendidos maneira adequada ou empregados de forma rigorosa.  Como observa Amorim Neto e Rodriguez (2016) o processo diz respeito ao um fenômeno que entre seu início e seu fim seja observado o elemento que conecta esses dois momentos em um determinado contexto. Nesse sentido, é o mecanismo </w:t>
      </w:r>
      <w:r w:rsidRPr="009A2EEF">
        <w:rPr>
          <w:rFonts w:eastAsia="Calibri"/>
          <w:bCs/>
          <w:color w:val="000000"/>
        </w:rPr>
        <w:lastRenderedPageBreak/>
        <w:t xml:space="preserve">causal responsável pela conexão entre eventos que de um ponto inicial conduzem a um determinado resultado </w:t>
      </w:r>
      <w:r w:rsidRPr="009A2EEF">
        <w:rPr>
          <w:rFonts w:eastAsia="Calibri"/>
          <w:sz w:val="23"/>
          <w:szCs w:val="23"/>
        </w:rPr>
        <w:t>(FALLETTI; TULIA, 2009; MAHONEY, 2012).</w:t>
      </w:r>
    </w:p>
    <w:p w:rsidR="00551312" w:rsidRDefault="009A2EEF" w:rsidP="009A2EEF">
      <w:pPr>
        <w:spacing w:line="360" w:lineRule="auto"/>
        <w:ind w:firstLine="708"/>
        <w:jc w:val="both"/>
        <w:rPr>
          <w:bCs/>
          <w:color w:val="000000"/>
        </w:rPr>
      </w:pPr>
      <w:r w:rsidRPr="009A2EEF">
        <w:rPr>
          <w:bCs/>
          <w:color w:val="000000"/>
        </w:rPr>
        <w:t>O debate sobre o método tem integrado considerações sobre o processo causal em que a descrição da seqüência de eventos municia o pesquisador de elementos que favorecem o rastreamento do processo. Dessa maneira, como destaca Mahoney (2010) a descrição atenta é à base d</w:t>
      </w:r>
      <w:r w:rsidR="00095952">
        <w:rPr>
          <w:bCs/>
          <w:color w:val="000000"/>
        </w:rPr>
        <w:t xml:space="preserve">o mapeamento de processo </w:t>
      </w:r>
      <w:r w:rsidRPr="009A2EEF">
        <w:rPr>
          <w:bCs/>
          <w:color w:val="000000"/>
        </w:rPr>
        <w:t xml:space="preserve">já que por regra o método requer análise da trajetória em que se opera a mudança e a causalidade. </w:t>
      </w:r>
      <w:r w:rsidRPr="007B4D20">
        <w:rPr>
          <w:bCs/>
          <w:color w:val="000000"/>
        </w:rPr>
        <w:t>Nesse sentido, ainda segundo o autor</w:t>
      </w:r>
      <w:r w:rsidR="007F7465">
        <w:rPr>
          <w:bCs/>
          <w:color w:val="000000"/>
        </w:rPr>
        <w:t>,</w:t>
      </w:r>
      <w:r w:rsidRPr="007B4D20">
        <w:rPr>
          <w:bCs/>
          <w:color w:val="000000"/>
        </w:rPr>
        <w:t xml:space="preserve"> </w:t>
      </w:r>
      <w:r w:rsidR="007B4D20">
        <w:rPr>
          <w:bCs/>
          <w:color w:val="000000"/>
        </w:rPr>
        <w:t>o mapeamento de processo “</w:t>
      </w:r>
      <w:r w:rsidR="007B4D20" w:rsidRPr="007B4D20">
        <w:rPr>
          <w:bCs/>
          <w:color w:val="000000"/>
        </w:rPr>
        <w:t>é uma ferramenta analítica para desenhar inferências descritivas e causais a partir de provas diagnósticas - muitas vezes entendidas como parte de uma seqüência temporal de eventos ou fenômenos</w:t>
      </w:r>
      <w:r w:rsidR="007B4D20">
        <w:rPr>
          <w:bCs/>
          <w:color w:val="000000"/>
        </w:rPr>
        <w:t>”</w:t>
      </w:r>
      <w:r w:rsidR="007B4D20">
        <w:rPr>
          <w:rStyle w:val="Refdenotaderodap"/>
          <w:bCs/>
          <w:color w:val="000000"/>
        </w:rPr>
        <w:footnoteReference w:id="10"/>
      </w:r>
      <w:r w:rsidR="007B4D20">
        <w:rPr>
          <w:bCs/>
          <w:color w:val="000000"/>
        </w:rPr>
        <w:t xml:space="preserve"> </w:t>
      </w:r>
      <w:r w:rsidRPr="007B4D20">
        <w:rPr>
          <w:bCs/>
          <w:color w:val="000000"/>
        </w:rPr>
        <w:t>(COLLIER, 2011</w:t>
      </w:r>
      <w:r w:rsidR="007B4D20">
        <w:rPr>
          <w:bCs/>
          <w:color w:val="000000"/>
        </w:rPr>
        <w:t xml:space="preserve"> p. 11</w:t>
      </w:r>
      <w:r w:rsidRPr="007B4D20">
        <w:rPr>
          <w:bCs/>
          <w:color w:val="000000"/>
        </w:rPr>
        <w:t xml:space="preserve">). </w:t>
      </w:r>
      <w:r w:rsidRPr="009A2EEF">
        <w:rPr>
          <w:bCs/>
          <w:color w:val="000000"/>
        </w:rPr>
        <w:t>Nesse cenário, a especificação das hipótes</w:t>
      </w:r>
      <w:r w:rsidR="0092758A">
        <w:rPr>
          <w:bCs/>
          <w:color w:val="000000"/>
        </w:rPr>
        <w:t>es ocupa um papel decisivo com a finalidade d</w:t>
      </w:r>
      <w:r w:rsidRPr="009A2EEF">
        <w:rPr>
          <w:bCs/>
          <w:color w:val="000000"/>
        </w:rPr>
        <w:t>e estabelecer o qu</w:t>
      </w:r>
      <w:r w:rsidR="00304723">
        <w:rPr>
          <w:bCs/>
          <w:color w:val="000000"/>
        </w:rPr>
        <w:t>adro pelo qual se dará tanto a</w:t>
      </w:r>
      <w:r w:rsidRPr="009A2EEF">
        <w:rPr>
          <w:bCs/>
          <w:color w:val="000000"/>
        </w:rPr>
        <w:t xml:space="preserve"> seleção quanto a interpretação dos dados.</w:t>
      </w:r>
    </w:p>
    <w:p w:rsidR="00C325F3" w:rsidRDefault="000F7C20" w:rsidP="00C325F3">
      <w:pPr>
        <w:spacing w:line="360" w:lineRule="auto"/>
        <w:ind w:firstLine="708"/>
        <w:jc w:val="both"/>
        <w:rPr>
          <w:bCs/>
          <w:color w:val="000000"/>
        </w:rPr>
      </w:pPr>
      <w:r>
        <w:rPr>
          <w:bCs/>
          <w:color w:val="000000"/>
        </w:rPr>
        <w:t xml:space="preserve">Dessa forma, no diálogo da estratégia de análise em tela </w:t>
      </w:r>
      <w:r w:rsidR="00C325F3">
        <w:rPr>
          <w:bCs/>
          <w:color w:val="000000"/>
        </w:rPr>
        <w:t xml:space="preserve">com a nossa hipótese </w:t>
      </w:r>
      <w:r>
        <w:rPr>
          <w:bCs/>
          <w:color w:val="000000"/>
        </w:rPr>
        <w:t xml:space="preserve">e o argumento desenvolvido nas </w:t>
      </w:r>
      <w:r w:rsidR="00C325F3">
        <w:rPr>
          <w:bCs/>
          <w:color w:val="000000"/>
        </w:rPr>
        <w:t xml:space="preserve">seções anteriores, consideramos que a </w:t>
      </w:r>
      <w:r w:rsidR="00701766">
        <w:rPr>
          <w:bCs/>
          <w:color w:val="000000"/>
        </w:rPr>
        <w:t>“</w:t>
      </w:r>
      <w:r w:rsidR="00C325F3">
        <w:rPr>
          <w:bCs/>
          <w:color w:val="000000"/>
        </w:rPr>
        <w:t>racionalização da política exterior</w:t>
      </w:r>
      <w:r w:rsidR="00701766">
        <w:rPr>
          <w:bCs/>
          <w:color w:val="000000"/>
        </w:rPr>
        <w:t>”</w:t>
      </w:r>
      <w:r w:rsidR="00C325F3">
        <w:rPr>
          <w:bCs/>
          <w:color w:val="000000"/>
        </w:rPr>
        <w:t xml:space="preserve"> é um</w:t>
      </w:r>
      <w:r w:rsidR="00701766">
        <w:rPr>
          <w:bCs/>
          <w:color w:val="000000"/>
        </w:rPr>
        <w:t>a</w:t>
      </w:r>
      <w:r w:rsidR="00C325F3">
        <w:rPr>
          <w:bCs/>
          <w:color w:val="000000"/>
        </w:rPr>
        <w:t xml:space="preserve"> condição necessária para </w:t>
      </w:r>
      <w:r w:rsidR="00701766">
        <w:rPr>
          <w:bCs/>
          <w:color w:val="000000"/>
        </w:rPr>
        <w:t>ocorra a transferência</w:t>
      </w:r>
      <w:r w:rsidR="00C325F3">
        <w:rPr>
          <w:bCs/>
          <w:color w:val="000000"/>
        </w:rPr>
        <w:t xml:space="preserve">. </w:t>
      </w:r>
      <w:r w:rsidR="00C325F3" w:rsidRPr="00C325F3">
        <w:rPr>
          <w:bCs/>
          <w:color w:val="000000"/>
        </w:rPr>
        <w:t xml:space="preserve"> </w:t>
      </w:r>
      <w:r w:rsidR="00C325F3">
        <w:rPr>
          <w:bCs/>
          <w:color w:val="000000"/>
        </w:rPr>
        <w:t xml:space="preserve">Nesse sentido, a) </w:t>
      </w:r>
      <w:r w:rsidR="00C325F3" w:rsidRPr="00C325F3">
        <w:rPr>
          <w:bCs/>
          <w:color w:val="000000"/>
        </w:rPr>
        <w:t>c</w:t>
      </w:r>
      <w:r w:rsidR="00C325F3">
        <w:rPr>
          <w:bCs/>
          <w:color w:val="000000"/>
        </w:rPr>
        <w:t>apacidade de ação internacional; b) a capaci</w:t>
      </w:r>
      <w:r w:rsidR="00701766">
        <w:rPr>
          <w:bCs/>
          <w:color w:val="000000"/>
        </w:rPr>
        <w:t>d</w:t>
      </w:r>
      <w:r w:rsidR="00C325F3">
        <w:rPr>
          <w:bCs/>
          <w:color w:val="000000"/>
        </w:rPr>
        <w:t xml:space="preserve">ade de coordenação bem como c) a capacidade de </w:t>
      </w:r>
      <w:r w:rsidR="00C325F3" w:rsidRPr="00C325F3">
        <w:rPr>
          <w:bCs/>
          <w:color w:val="000000"/>
        </w:rPr>
        <w:t xml:space="preserve">cooperação </w:t>
      </w:r>
      <w:r w:rsidR="00C325F3">
        <w:rPr>
          <w:bCs/>
          <w:color w:val="000000"/>
        </w:rPr>
        <w:t xml:space="preserve">seriam condições SUIN’s </w:t>
      </w:r>
      <w:r w:rsidR="00C325F3" w:rsidRPr="009A2EEF">
        <w:t>(</w:t>
      </w:r>
      <w:r w:rsidR="00C325F3">
        <w:t>“</w:t>
      </w:r>
      <w:r w:rsidR="00C325F3" w:rsidRPr="00095952">
        <w:t>parte suficiente, mas desnecessária, de um fator insuficiente, mas necessário para o resultado</w:t>
      </w:r>
      <w:r w:rsidR="00C325F3">
        <w:t>”</w:t>
      </w:r>
      <w:r w:rsidR="00C325F3" w:rsidRPr="009A2EEF">
        <w:t>)</w:t>
      </w:r>
      <w:r w:rsidR="00C325F3">
        <w:t xml:space="preserve"> para o processo de racionalização. </w:t>
      </w:r>
    </w:p>
    <w:p w:rsidR="00554D51" w:rsidRDefault="00554D51" w:rsidP="000E75A4">
      <w:pPr>
        <w:spacing w:line="360" w:lineRule="auto"/>
        <w:jc w:val="both"/>
        <w:rPr>
          <w:b/>
          <w:bCs/>
          <w:color w:val="000000"/>
        </w:rPr>
      </w:pPr>
    </w:p>
    <w:p w:rsidR="00C325F3" w:rsidRPr="00C325F3" w:rsidRDefault="000E75A4" w:rsidP="000E75A4">
      <w:pPr>
        <w:spacing w:line="360" w:lineRule="auto"/>
        <w:jc w:val="both"/>
        <w:rPr>
          <w:b/>
          <w:bCs/>
          <w:color w:val="000000"/>
        </w:rPr>
      </w:pPr>
      <w:r>
        <w:rPr>
          <w:b/>
          <w:bCs/>
          <w:color w:val="000000"/>
        </w:rPr>
        <w:t xml:space="preserve">2.5. </w:t>
      </w:r>
      <w:r w:rsidR="00C325F3" w:rsidRPr="00C325F3">
        <w:rPr>
          <w:b/>
          <w:bCs/>
          <w:color w:val="000000"/>
        </w:rPr>
        <w:t>Conclusão Parcial</w:t>
      </w:r>
    </w:p>
    <w:p w:rsidR="00C325F3" w:rsidRDefault="00C325F3" w:rsidP="00866347">
      <w:pPr>
        <w:spacing w:line="360" w:lineRule="auto"/>
        <w:ind w:firstLine="708"/>
        <w:jc w:val="both"/>
        <w:rPr>
          <w:bCs/>
          <w:color w:val="000000"/>
        </w:rPr>
      </w:pPr>
      <w:r>
        <w:rPr>
          <w:bCs/>
          <w:color w:val="000000"/>
        </w:rPr>
        <w:t>O objetivo do capítulo</w:t>
      </w:r>
      <w:r w:rsidR="00EE3C95">
        <w:rPr>
          <w:bCs/>
          <w:color w:val="000000"/>
        </w:rPr>
        <w:t xml:space="preserve"> foi estabelecer indicadores para a análise sobre a “racionalização da política exterior”</w:t>
      </w:r>
      <w:r w:rsidR="00866347">
        <w:rPr>
          <w:bCs/>
          <w:color w:val="000000"/>
        </w:rPr>
        <w:t>. O conceito indica que o governo central ao aceitar ou mesmo incentivarem a ação internacional das unidades subnacionais (que pode configurar quadros de coordenação, cooperação ao monitoramento) pode se beneficiar da complementaridade dessa ação. Para observar esse processo adotamos três dimensões do federalismo quando da reflexão da sua dimensão quanto a ação internacional das unidades subnacionais, a autonomia, a coordenação e a cooperação.</w:t>
      </w:r>
    </w:p>
    <w:p w:rsidR="00C325F3" w:rsidRPr="00C325F3" w:rsidRDefault="00866347" w:rsidP="00C325F3">
      <w:pPr>
        <w:spacing w:line="360" w:lineRule="auto"/>
        <w:ind w:firstLine="708"/>
        <w:jc w:val="both"/>
        <w:rPr>
          <w:i/>
        </w:rPr>
      </w:pPr>
      <w:r>
        <w:t>No capítulo debatemos,</w:t>
      </w:r>
      <w:r w:rsidR="00C325F3">
        <w:t xml:space="preserve"> para cada d</w:t>
      </w:r>
      <w:r w:rsidR="008D0F09">
        <w:t xml:space="preserve">imensão, indicadores </w:t>
      </w:r>
      <w:r>
        <w:t>pa</w:t>
      </w:r>
      <w:r w:rsidR="008D0F09">
        <w:t>r</w:t>
      </w:r>
      <w:r>
        <w:t>a a operacionalização e teste empírico d</w:t>
      </w:r>
      <w:r w:rsidR="00C325F3">
        <w:t>o conceito de racionalização.</w:t>
      </w:r>
      <w:r>
        <w:t xml:space="preserve"> Nesse ponto do trabalho destacamos as estratégias de coleta de dados para cada indicador adotado </w:t>
      </w:r>
      <w:r w:rsidR="008D0F09">
        <w:t xml:space="preserve">e </w:t>
      </w:r>
      <w:r w:rsidR="008D0F09">
        <w:lastRenderedPageBreak/>
        <w:t xml:space="preserve">assim, ao fim do capítulo, ressaltamos a </w:t>
      </w:r>
      <w:r w:rsidRPr="00866347">
        <w:t xml:space="preserve">estratégia de análise dos dados: </w:t>
      </w:r>
      <w:r w:rsidR="00C325F3" w:rsidRPr="00866347">
        <w:t xml:space="preserve">o Método Histórico Comparativo e </w:t>
      </w:r>
      <w:r>
        <w:t xml:space="preserve">o </w:t>
      </w:r>
      <w:r w:rsidR="00C325F3" w:rsidRPr="00866347">
        <w:t>Mapeamento de Processo.</w:t>
      </w:r>
    </w:p>
    <w:p w:rsidR="009A2EEF" w:rsidRDefault="00866347" w:rsidP="006E4318">
      <w:pPr>
        <w:spacing w:line="360" w:lineRule="auto"/>
        <w:ind w:firstLine="708"/>
        <w:jc w:val="both"/>
      </w:pPr>
      <w:r>
        <w:t xml:space="preserve">No próximo capítulo, apresentaremos os dados de cada indicador para analisar a racionalização da política exterior na Argentina e no Brasil. Nesse sentido, lançaremos mão dos indicadores destacados nesse capítulo para observar a Província de Buenos Aires e o Estado do Rio de Janeiro. </w:t>
      </w:r>
      <w:r w:rsidR="006E4318">
        <w:t>Dessa maneira, buscamos investigar a racionalização da política exterior como condição político – institucional (doméstica) necessária na transferência da Unidade de Pronto Atendimento (UPA 24h – RJ).</w:t>
      </w:r>
    </w:p>
    <w:p w:rsidR="00020A04" w:rsidRDefault="00020A04"/>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950E99" w:rsidRDefault="00950E99" w:rsidP="00701766">
      <w:pPr>
        <w:jc w:val="both"/>
        <w:rPr>
          <w:b/>
        </w:rPr>
      </w:pPr>
    </w:p>
    <w:p w:rsidR="00701766" w:rsidRPr="00701766" w:rsidRDefault="00701766" w:rsidP="00701766">
      <w:pPr>
        <w:jc w:val="both"/>
        <w:rPr>
          <w:b/>
        </w:rPr>
      </w:pPr>
      <w:r w:rsidRPr="00701766">
        <w:rPr>
          <w:b/>
        </w:rPr>
        <w:lastRenderedPageBreak/>
        <w:t>CAPÍTULO 3. A RACIONALIZAÇÃO DA POLÍTICA EXTERNA: O RIO DE JANEIRO E A PROVÍNCIA DE BUENOS AIRES EM PERSPECTIVA COMPARADA</w:t>
      </w:r>
    </w:p>
    <w:p w:rsidR="00701766" w:rsidRDefault="00701766"/>
    <w:p w:rsidR="00E2057E" w:rsidRDefault="00701766" w:rsidP="00701766">
      <w:pPr>
        <w:spacing w:line="360" w:lineRule="auto"/>
        <w:jc w:val="both"/>
      </w:pPr>
      <w:r>
        <w:tab/>
        <w:t xml:space="preserve">O presente capítulo tem por objetivo a investigação comparada das unidades subnacionais na Argentina e no Brasil frente ao fenômeno de racionalização da política exterior. Para tanto, mobiliza os indicadores estabelecidos no capítulo anterior </w:t>
      </w:r>
      <w:r w:rsidR="00EF2A21">
        <w:t xml:space="preserve">para o debate das </w:t>
      </w:r>
      <w:r w:rsidR="002D486C">
        <w:t>dimensões de autonomia, coordenação e cooperação</w:t>
      </w:r>
      <w:r w:rsidR="00EF2A21">
        <w:t xml:space="preserve"> para refletir sobre federalismo e relações internacionais nos dois países. </w:t>
      </w:r>
    </w:p>
    <w:p w:rsidR="00701766" w:rsidRDefault="00EF2A21" w:rsidP="00E2057E">
      <w:pPr>
        <w:spacing w:line="360" w:lineRule="auto"/>
        <w:ind w:firstLine="708"/>
        <w:jc w:val="both"/>
      </w:pPr>
      <w:r>
        <w:t>Para tanto, o capítulo se dive em três momentos. De partida, apresentamos os resultados dos parâmetros de análise com foco nas províncias argentinas. Nas sequência, o mesmo exercício é feito para a investigação do grau de racionalização sob o ponto de vista dos estados brasileiros</w:t>
      </w:r>
      <w:r w:rsidR="00E2057E">
        <w:t xml:space="preserve">. No fim so capítulo dedicamos a atenção em observar em perspectiva comparada a Província de Buenos Aires e o Estado do Rio de Janeiro. </w:t>
      </w:r>
    </w:p>
    <w:p w:rsidR="00505222" w:rsidRDefault="00505222"/>
    <w:p w:rsidR="00701766" w:rsidRPr="00515372" w:rsidRDefault="00387167" w:rsidP="002D486C">
      <w:pPr>
        <w:jc w:val="both"/>
        <w:rPr>
          <w:b/>
        </w:rPr>
      </w:pPr>
      <w:r>
        <w:rPr>
          <w:b/>
        </w:rPr>
        <w:t xml:space="preserve">3.1 </w:t>
      </w:r>
      <w:r w:rsidR="002D486C">
        <w:rPr>
          <w:b/>
        </w:rPr>
        <w:t xml:space="preserve">A Ação Internacional das </w:t>
      </w:r>
      <w:r w:rsidR="00701766" w:rsidRPr="00515372">
        <w:rPr>
          <w:b/>
        </w:rPr>
        <w:t>Unidades Subnacionais na Argentina</w:t>
      </w:r>
    </w:p>
    <w:p w:rsidR="00701766" w:rsidRDefault="00701766" w:rsidP="00701766">
      <w:pPr>
        <w:jc w:val="both"/>
      </w:pPr>
    </w:p>
    <w:p w:rsidR="00417D2D" w:rsidRPr="00505222" w:rsidRDefault="00F71C87" w:rsidP="00417D2D">
      <w:pPr>
        <w:spacing w:line="360" w:lineRule="auto"/>
        <w:jc w:val="both"/>
        <w:rPr>
          <w:rFonts w:eastAsia="Calibri"/>
        </w:rPr>
      </w:pPr>
      <w:r>
        <w:tab/>
      </w:r>
      <w:r w:rsidRPr="00505222">
        <w:t xml:space="preserve">No tocante </w:t>
      </w:r>
      <w:r w:rsidR="00417D2D" w:rsidRPr="00505222">
        <w:t>à</w:t>
      </w:r>
      <w:r w:rsidRPr="00505222">
        <w:t xml:space="preserve"> ação internacional das Províncias argentinas é possível observar </w:t>
      </w:r>
      <w:r w:rsidR="00417D2D" w:rsidRPr="00505222">
        <w:t xml:space="preserve">que </w:t>
      </w:r>
      <w:r w:rsidR="00DB09F3" w:rsidRPr="00505222">
        <w:t>sete pontos têm guiado</w:t>
      </w:r>
      <w:r w:rsidRPr="00505222">
        <w:t xml:space="preserve"> o debate </w:t>
      </w:r>
      <w:r w:rsidR="00417D2D" w:rsidRPr="00505222">
        <w:t xml:space="preserve">acadêmico </w:t>
      </w:r>
      <w:r w:rsidRPr="00505222">
        <w:t>sobre o fenômeno</w:t>
      </w:r>
      <w:r w:rsidR="00417D2D" w:rsidRPr="00505222">
        <w:t xml:space="preserve"> naquele país</w:t>
      </w:r>
      <w:r w:rsidRPr="00505222">
        <w:t xml:space="preserve">. </w:t>
      </w:r>
      <w:r w:rsidR="00417D2D" w:rsidRPr="00505222">
        <w:t>Nesse quadro, o</w:t>
      </w:r>
      <w:r w:rsidRPr="00505222">
        <w:t xml:space="preserve"> primeiro </w:t>
      </w:r>
      <w:r w:rsidR="003B66C0" w:rsidRPr="00505222">
        <w:t xml:space="preserve">elemento </w:t>
      </w:r>
      <w:r w:rsidRPr="00505222">
        <w:t xml:space="preserve">esta relacionado </w:t>
      </w:r>
      <w:r w:rsidR="003B66C0" w:rsidRPr="00505222">
        <w:t>à</w:t>
      </w:r>
      <w:r w:rsidRPr="00505222">
        <w:t xml:space="preserve"> resolução das discussões doutrinárias quanto ao aspecto legal dos atos internacionais estabelecido</w:t>
      </w:r>
      <w:r w:rsidR="003B66C0" w:rsidRPr="00505222">
        <w:t xml:space="preserve">s por esses entes </w:t>
      </w:r>
      <w:r w:rsidR="00701766" w:rsidRPr="00505222">
        <w:rPr>
          <w:rFonts w:eastAsia="Calibri"/>
          <w:color w:val="000000"/>
        </w:rPr>
        <w:t>(SALVIOLO, 2005)</w:t>
      </w:r>
      <w:r w:rsidR="003B66C0" w:rsidRPr="00505222">
        <w:rPr>
          <w:rFonts w:eastAsia="Calibri"/>
          <w:color w:val="000000"/>
        </w:rPr>
        <w:t>. O segundo ponto</w:t>
      </w:r>
      <w:r w:rsidR="00417D2D" w:rsidRPr="00505222">
        <w:rPr>
          <w:rFonts w:eastAsia="Calibri"/>
          <w:color w:val="000000"/>
        </w:rPr>
        <w:t xml:space="preserve"> refere-se à</w:t>
      </w:r>
      <w:r w:rsidR="003B66C0" w:rsidRPr="00505222">
        <w:rPr>
          <w:rFonts w:eastAsia="Calibri"/>
          <w:color w:val="000000"/>
        </w:rPr>
        <w:t xml:space="preserve"> preservação da competência federal na definição da política exterior do país a despeito do vinculo internacional estabelecido por essas unidades </w:t>
      </w:r>
      <w:r w:rsidR="00701766" w:rsidRPr="00505222">
        <w:rPr>
          <w:rFonts w:eastAsia="Calibri"/>
        </w:rPr>
        <w:t>(VARELA, 2</w:t>
      </w:r>
      <w:r w:rsidR="003B66C0" w:rsidRPr="00505222">
        <w:rPr>
          <w:rFonts w:eastAsia="Calibri"/>
        </w:rPr>
        <w:t>010; CARBAJALES e GASOL, 2008). A terceira observação a ser feita tem na criação, pelas províncias, de espaços institucionais para o gerenciamento d</w:t>
      </w:r>
      <w:r w:rsidR="00417D2D" w:rsidRPr="00505222">
        <w:rPr>
          <w:rFonts w:eastAsia="Calibri"/>
        </w:rPr>
        <w:t xml:space="preserve">essa </w:t>
      </w:r>
      <w:r w:rsidR="003B66C0" w:rsidRPr="00505222">
        <w:rPr>
          <w:rFonts w:eastAsia="Calibri"/>
        </w:rPr>
        <w:t xml:space="preserve">interface internacional </w:t>
      </w:r>
      <w:r w:rsidR="00701766" w:rsidRPr="00505222">
        <w:rPr>
          <w:rFonts w:eastAsia="Calibri"/>
        </w:rPr>
        <w:t>(CEUNICK, 2013)</w:t>
      </w:r>
      <w:r w:rsidR="003B66C0" w:rsidRPr="00505222">
        <w:rPr>
          <w:rFonts w:eastAsia="Calibri"/>
        </w:rPr>
        <w:t xml:space="preserve">. </w:t>
      </w:r>
    </w:p>
    <w:p w:rsidR="00701766" w:rsidRPr="00505222" w:rsidRDefault="003B66C0" w:rsidP="00B47F7E">
      <w:pPr>
        <w:spacing w:line="360" w:lineRule="auto"/>
        <w:ind w:firstLine="708"/>
        <w:jc w:val="both"/>
        <w:rPr>
          <w:rFonts w:eastAsia="Calibri"/>
        </w:rPr>
      </w:pPr>
      <w:r w:rsidRPr="00505222">
        <w:rPr>
          <w:rFonts w:eastAsia="Calibri"/>
        </w:rPr>
        <w:t>Em quarto lugar, cabe apontar,</w:t>
      </w:r>
      <w:r w:rsidR="00417D2D" w:rsidRPr="00505222">
        <w:rPr>
          <w:rFonts w:eastAsia="Calibri"/>
        </w:rPr>
        <w:t xml:space="preserve"> a emergência de escritórios para promover a dimensão comercial desses atores no exterior (ZUBELZÚ, 2008). Um quinto elemento se vincula a contratação de crédito direto – a chamada paradiplomacia financeira— por parte dos entes subnacionais na negociação destes com bancos internacionais, onde o governo federal atuaria unicamente como um avalista </w:t>
      </w:r>
      <w:r w:rsidR="00701766" w:rsidRPr="00505222">
        <w:rPr>
          <w:rFonts w:eastAsia="Calibri"/>
        </w:rPr>
        <w:t>(IGLESIAS, 2008)</w:t>
      </w:r>
      <w:r w:rsidR="00417D2D" w:rsidRPr="00505222">
        <w:rPr>
          <w:rFonts w:eastAsia="Calibri"/>
        </w:rPr>
        <w:t xml:space="preserve">. </w:t>
      </w:r>
      <w:r w:rsidR="00701766" w:rsidRPr="00505222">
        <w:rPr>
          <w:rFonts w:eastAsia="Calibri"/>
        </w:rPr>
        <w:t xml:space="preserve"> </w:t>
      </w:r>
      <w:r w:rsidR="00634F50" w:rsidRPr="00505222">
        <w:rPr>
          <w:rFonts w:eastAsia="Calibri"/>
        </w:rPr>
        <w:t xml:space="preserve">Em sexto lugar, com o impulso dos elementos salientados até aqui, resulta um maior interesse acadêmico no tema com a formação de grupos de pesquisa e eventos dedicados ao tema </w:t>
      </w:r>
      <w:r w:rsidR="00701766" w:rsidRPr="00505222">
        <w:rPr>
          <w:rFonts w:eastAsia="Calibri"/>
        </w:rPr>
        <w:t>(ZUBELZÚ, 2</w:t>
      </w:r>
      <w:r w:rsidR="00634F50" w:rsidRPr="00505222">
        <w:rPr>
          <w:rFonts w:eastAsia="Calibri"/>
        </w:rPr>
        <w:t>004; CARBAJALES e GASOL, 2008). Por fim, a mudança no cálculo das unidades subnacionais que</w:t>
      </w:r>
      <w:r w:rsidR="00B47F7E" w:rsidRPr="00505222">
        <w:rPr>
          <w:rFonts w:eastAsia="Calibri"/>
        </w:rPr>
        <w:t>,</w:t>
      </w:r>
      <w:r w:rsidR="00634F50" w:rsidRPr="00505222">
        <w:rPr>
          <w:rFonts w:eastAsia="Calibri"/>
        </w:rPr>
        <w:t xml:space="preserve"> </w:t>
      </w:r>
      <w:r w:rsidR="00B47F7E" w:rsidRPr="00505222">
        <w:rPr>
          <w:rFonts w:eastAsia="Calibri"/>
        </w:rPr>
        <w:t xml:space="preserve">ao invés de optarem por uma atuação indireta na forma </w:t>
      </w:r>
      <w:r w:rsidR="00B47F7E" w:rsidRPr="00505222">
        <w:rPr>
          <w:rFonts w:eastAsia="Calibri"/>
        </w:rPr>
        <w:lastRenderedPageBreak/>
        <w:t>de pressões ao governo federal, passaram a atuar de forma autônoma e direta no estabelecimento de relações internacionais</w:t>
      </w:r>
      <w:r w:rsidR="00701766" w:rsidRPr="00505222">
        <w:rPr>
          <w:rFonts w:eastAsia="Calibri"/>
        </w:rPr>
        <w:t xml:space="preserve"> (PAIKIN, 2010). </w:t>
      </w:r>
    </w:p>
    <w:p w:rsidR="000825AC" w:rsidRPr="00505222" w:rsidRDefault="000825AC" w:rsidP="00701766">
      <w:pPr>
        <w:jc w:val="both"/>
      </w:pPr>
    </w:p>
    <w:p w:rsidR="00701766" w:rsidRPr="00505222" w:rsidRDefault="00A825B9" w:rsidP="00701766">
      <w:pPr>
        <w:jc w:val="both"/>
        <w:rPr>
          <w:b/>
        </w:rPr>
      </w:pPr>
      <w:r>
        <w:rPr>
          <w:b/>
        </w:rPr>
        <w:t xml:space="preserve">3.1.1 </w:t>
      </w:r>
      <w:r w:rsidR="00701766" w:rsidRPr="00505222">
        <w:rPr>
          <w:b/>
        </w:rPr>
        <w:t>Capacidade de Ação Internacional (B1)</w:t>
      </w:r>
    </w:p>
    <w:p w:rsidR="00701766" w:rsidRPr="00505222" w:rsidRDefault="00701766" w:rsidP="00701766">
      <w:pPr>
        <w:jc w:val="both"/>
      </w:pPr>
    </w:p>
    <w:p w:rsidR="00701766" w:rsidRPr="00505222" w:rsidRDefault="00701766" w:rsidP="00701766">
      <w:pPr>
        <w:pStyle w:val="PargrafodaLista"/>
        <w:numPr>
          <w:ilvl w:val="0"/>
          <w:numId w:val="21"/>
        </w:numPr>
        <w:jc w:val="both"/>
        <w:rPr>
          <w:rFonts w:ascii="Times New Roman" w:hAnsi="Times New Roman"/>
          <w:b/>
          <w:sz w:val="24"/>
          <w:szCs w:val="24"/>
        </w:rPr>
      </w:pPr>
      <w:r w:rsidRPr="00505222">
        <w:rPr>
          <w:rFonts w:ascii="Times New Roman" w:hAnsi="Times New Roman"/>
          <w:b/>
          <w:sz w:val="24"/>
          <w:szCs w:val="24"/>
        </w:rPr>
        <w:t>Existência de Organismos específicos para Relações Internacionais</w:t>
      </w:r>
    </w:p>
    <w:p w:rsidR="00CC37C2" w:rsidRPr="00505222" w:rsidRDefault="002D486C" w:rsidP="002D486C">
      <w:pPr>
        <w:autoSpaceDE w:val="0"/>
        <w:autoSpaceDN w:val="0"/>
        <w:adjustRightInd w:val="0"/>
        <w:spacing w:line="360" w:lineRule="auto"/>
        <w:ind w:firstLine="360"/>
        <w:jc w:val="both"/>
        <w:rPr>
          <w:rFonts w:eastAsia="Calibri"/>
          <w:color w:val="000000"/>
        </w:rPr>
      </w:pPr>
      <w:r w:rsidRPr="00505222">
        <w:rPr>
          <w:rFonts w:eastAsia="Calibri"/>
          <w:color w:val="000000"/>
        </w:rPr>
        <w:t xml:space="preserve">De acordo com Zulbelzu (2008, p.87) o processo de institucionalização de áreas dedicadas à interface internacional nas províncias argentinas não se deu de forma homogênea. Para o autor, as unidades subnacionais adotaram estratégias de internacionalização distintas tendo como parâmetro seus interesses e necessidades. Nesse sentido, entres as formas adotadas, Zulbelzu (2008, p. 87) as distingue em quatro categorias. A primeira opção de estabelecimento de áreas voltadas para o internacional nas províncias vinculava essas repartições – sejam Subsecretarias ou Direções – ao Ministério da Produção com uma ênfase em temas de economia produtiva ou comercial. </w:t>
      </w:r>
    </w:p>
    <w:p w:rsidR="002D486C" w:rsidRPr="00505222" w:rsidRDefault="002D486C" w:rsidP="002D486C">
      <w:pPr>
        <w:autoSpaceDE w:val="0"/>
        <w:autoSpaceDN w:val="0"/>
        <w:adjustRightInd w:val="0"/>
        <w:spacing w:line="360" w:lineRule="auto"/>
        <w:ind w:firstLine="360"/>
        <w:jc w:val="both"/>
        <w:rPr>
          <w:rFonts w:eastAsia="Calibri"/>
          <w:color w:val="000000"/>
        </w:rPr>
      </w:pPr>
      <w:r w:rsidRPr="00505222">
        <w:rPr>
          <w:rFonts w:eastAsia="Calibri"/>
          <w:color w:val="000000"/>
        </w:rPr>
        <w:t>No segundo modelo são inseridas as estratégias das províncias que criaram uma área própria para as relações internacionais – Secretarias ou Direções –</w:t>
      </w:r>
      <w:r w:rsidR="00CC37C2" w:rsidRPr="00505222">
        <w:rPr>
          <w:rFonts w:eastAsia="Calibri"/>
          <w:color w:val="000000"/>
        </w:rPr>
        <w:t xml:space="preserve"> sem status ministerial e não vinculadas ao Ministério de Produção o que geraria um espaço de atuação mais amplo para o órgão. </w:t>
      </w:r>
      <w:r w:rsidRPr="00505222">
        <w:rPr>
          <w:rFonts w:eastAsia="Calibri"/>
          <w:color w:val="000000"/>
        </w:rPr>
        <w:t xml:space="preserve"> </w:t>
      </w:r>
      <w:r w:rsidR="00CC37C2" w:rsidRPr="00505222">
        <w:rPr>
          <w:rFonts w:eastAsia="Calibri"/>
          <w:color w:val="000000"/>
        </w:rPr>
        <w:t xml:space="preserve">A terceira forma adotada valeu – se do estabelecimento de agências específicas com relativa autonomia do governo provincial com um foco na promoção de exportações como é o caso da Agencia Pro Córdoba, Pro Mendoza, Pro Río Negro e BAexporta. </w:t>
      </w:r>
      <w:r w:rsidR="00996668" w:rsidRPr="00505222">
        <w:rPr>
          <w:rFonts w:eastAsia="Calibri"/>
          <w:color w:val="000000"/>
        </w:rPr>
        <w:t xml:space="preserve">Por fim, encontram-se as Províncias que não possuem nenhum espaço voltado as relações internacionais. No entanto, o autor chama a atenção pata o fato de que essa ausência não significaria, necessariamente, uma não – ação internacional, e sim que, em províncias como San Luis, Santa Cruz e Formosa, o estabelecimento de relações internacionais não estaria concentrado em um único espaço organizacional. </w:t>
      </w:r>
    </w:p>
    <w:p w:rsidR="00996668" w:rsidRPr="00505222" w:rsidRDefault="00996668" w:rsidP="00996668">
      <w:pPr>
        <w:autoSpaceDE w:val="0"/>
        <w:autoSpaceDN w:val="0"/>
        <w:adjustRightInd w:val="0"/>
        <w:spacing w:line="360" w:lineRule="auto"/>
        <w:jc w:val="both"/>
        <w:rPr>
          <w:rFonts w:eastAsia="Calibri"/>
          <w:color w:val="000000"/>
        </w:rPr>
      </w:pPr>
      <w:r w:rsidRPr="00505222">
        <w:rPr>
          <w:rFonts w:eastAsia="Calibri"/>
          <w:color w:val="000000"/>
        </w:rPr>
        <w:tab/>
        <w:t>Para Paikin (2010) na dinâmica de institucionalização dos espaços de ação internacional das províncias argentinas ocorreu uma clara preferência da primeira forma observada por Zulbelzu (2008) onde as atividades dessas áreas se voltariam, em larga medida, para as atividades econômicas. De acordo com o autor “e</w:t>
      </w:r>
      <w:r w:rsidR="00701766" w:rsidRPr="00505222">
        <w:rPr>
          <w:rFonts w:eastAsia="Calibri"/>
          <w:iCs/>
          <w:color w:val="000000"/>
        </w:rPr>
        <w:t xml:space="preserve">sta clara predilección en el área de la infraestructura y la producción quedó reflejada en el esquema institucional que se dieron las provincias para realizar su </w:t>
      </w:r>
      <w:r w:rsidRPr="00505222">
        <w:rPr>
          <w:rFonts w:eastAsia="Calibri"/>
          <w:iCs/>
          <w:color w:val="000000"/>
        </w:rPr>
        <w:t xml:space="preserve"> </w:t>
      </w:r>
      <w:r w:rsidRPr="00505222">
        <w:rPr>
          <w:rFonts w:eastAsia="Calibri"/>
          <w:iCs/>
        </w:rPr>
        <w:t>tarea internacional” (</w:t>
      </w:r>
      <w:r w:rsidRPr="00505222">
        <w:rPr>
          <w:rFonts w:eastAsia="Calibri"/>
          <w:color w:val="000000"/>
        </w:rPr>
        <w:t xml:space="preserve">PAIKIN, 2010, p. 46). </w:t>
      </w:r>
    </w:p>
    <w:p w:rsidR="00996668" w:rsidRPr="00505222" w:rsidRDefault="00996668" w:rsidP="00DB09F3">
      <w:pPr>
        <w:autoSpaceDE w:val="0"/>
        <w:autoSpaceDN w:val="0"/>
        <w:adjustRightInd w:val="0"/>
        <w:spacing w:line="360" w:lineRule="auto"/>
        <w:ind w:firstLine="708"/>
        <w:jc w:val="both"/>
        <w:rPr>
          <w:rFonts w:eastAsia="Calibri"/>
          <w:color w:val="000000"/>
        </w:rPr>
      </w:pPr>
      <w:r w:rsidRPr="00505222">
        <w:rPr>
          <w:rFonts w:eastAsia="Calibri"/>
          <w:color w:val="000000"/>
        </w:rPr>
        <w:lastRenderedPageBreak/>
        <w:t xml:space="preserve">Com base nos dados coletados nos trabalhos de </w:t>
      </w:r>
      <w:r w:rsidRPr="00505222">
        <w:t>Iglesias</w:t>
      </w:r>
      <w:r w:rsidR="00065FF4" w:rsidRPr="00505222">
        <w:t xml:space="preserve"> (</w:t>
      </w:r>
      <w:r w:rsidRPr="00505222">
        <w:t>2005</w:t>
      </w:r>
      <w:r w:rsidR="00065FF4" w:rsidRPr="00505222">
        <w:t>),</w:t>
      </w:r>
      <w:r w:rsidRPr="00505222">
        <w:t xml:space="preserve"> Zubelzú</w:t>
      </w:r>
      <w:r w:rsidR="00065FF4" w:rsidRPr="00505222">
        <w:t xml:space="preserve"> (</w:t>
      </w:r>
      <w:r w:rsidRPr="00505222">
        <w:t>2004</w:t>
      </w:r>
      <w:r w:rsidR="00065FF4" w:rsidRPr="00505222">
        <w:t>),</w:t>
      </w:r>
      <w:r w:rsidRPr="00505222">
        <w:t xml:space="preserve"> </w:t>
      </w:r>
      <w:r w:rsidR="00065FF4" w:rsidRPr="00505222">
        <w:rPr>
          <w:rFonts w:eastAsia="Calibri"/>
          <w:color w:val="000000"/>
        </w:rPr>
        <w:t xml:space="preserve">Paikin, (2010), </w:t>
      </w:r>
      <w:r w:rsidRPr="00505222">
        <w:t xml:space="preserve">Banzatto, </w:t>
      </w:r>
      <w:r w:rsidR="00065FF4" w:rsidRPr="00505222">
        <w:t>(</w:t>
      </w:r>
      <w:r w:rsidRPr="00505222">
        <w:t>2015</w:t>
      </w:r>
      <w:r w:rsidR="00065FF4" w:rsidRPr="00505222">
        <w:t xml:space="preserve">) a tabela abaixo os dados da institucionalização das áreas de relações internacionais das Províncias argentinas. As colunas estão organizadas no sentido da identificação das unidades subnacionais bem como se há ou não espaço dedicados a inferface internacional nas siglas (S) na presença e (N) na ausência.  </w:t>
      </w:r>
    </w:p>
    <w:p w:rsidR="00701766" w:rsidRDefault="00065FF4" w:rsidP="00065FF4">
      <w:pPr>
        <w:jc w:val="center"/>
        <w:rPr>
          <w:b/>
        </w:rPr>
      </w:pPr>
      <w:r w:rsidRPr="00065FF4">
        <w:rPr>
          <w:b/>
        </w:rPr>
        <w:t>Tabela</w:t>
      </w:r>
      <w:r>
        <w:rPr>
          <w:b/>
        </w:rPr>
        <w:t>:</w:t>
      </w:r>
      <w:r w:rsidR="002D01C1">
        <w:rPr>
          <w:b/>
        </w:rPr>
        <w:t xml:space="preserve"> </w:t>
      </w:r>
      <w:r w:rsidRPr="00065FF4">
        <w:rPr>
          <w:b/>
        </w:rPr>
        <w:t>Instituci</w:t>
      </w:r>
      <w:r>
        <w:rPr>
          <w:b/>
        </w:rPr>
        <w:t>o</w:t>
      </w:r>
      <w:r w:rsidRPr="00065FF4">
        <w:rPr>
          <w:b/>
        </w:rPr>
        <w:t>nalização das áreas de Relações Internacionais na</w:t>
      </w:r>
      <w:r>
        <w:rPr>
          <w:b/>
        </w:rPr>
        <w:t xml:space="preserve">s Províncias </w:t>
      </w:r>
      <w:r w:rsidRPr="00065FF4">
        <w:rPr>
          <w:b/>
        </w:rPr>
        <w:t>Argentina</w:t>
      </w:r>
      <w:r>
        <w:rPr>
          <w:b/>
        </w:rPr>
        <w:t>s</w:t>
      </w:r>
    </w:p>
    <w:p w:rsidR="00065FF4" w:rsidRPr="00065FF4" w:rsidRDefault="00065FF4" w:rsidP="00065FF4">
      <w:pPr>
        <w:jc w:val="center"/>
        <w:rPr>
          <w:b/>
        </w:rPr>
      </w:pPr>
    </w:p>
    <w:tbl>
      <w:tblPr>
        <w:tblW w:w="4999" w:type="dxa"/>
        <w:jc w:val="center"/>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82"/>
        <w:gridCol w:w="1717"/>
      </w:tblGrid>
      <w:tr w:rsidR="00996668" w:rsidRPr="007747D8" w:rsidTr="00065FF4">
        <w:trPr>
          <w:trHeight w:val="300"/>
          <w:jc w:val="center"/>
        </w:trPr>
        <w:tc>
          <w:tcPr>
            <w:tcW w:w="3282" w:type="dxa"/>
            <w:shd w:val="clear" w:color="auto" w:fill="auto"/>
            <w:noWrap/>
            <w:vAlign w:val="bottom"/>
            <w:hideMark/>
          </w:tcPr>
          <w:p w:rsidR="00996668" w:rsidRPr="007747D8" w:rsidRDefault="00996668" w:rsidP="00701766">
            <w:pPr>
              <w:jc w:val="center"/>
              <w:rPr>
                <w:b/>
                <w:color w:val="000000"/>
              </w:rPr>
            </w:pPr>
            <w:r w:rsidRPr="007747D8">
              <w:rPr>
                <w:b/>
                <w:color w:val="000000"/>
                <w:sz w:val="22"/>
                <w:szCs w:val="22"/>
              </w:rPr>
              <w:t>Província</w:t>
            </w:r>
          </w:p>
        </w:tc>
        <w:tc>
          <w:tcPr>
            <w:tcW w:w="1717" w:type="dxa"/>
            <w:shd w:val="clear" w:color="auto" w:fill="auto"/>
            <w:noWrap/>
            <w:vAlign w:val="center"/>
            <w:hideMark/>
          </w:tcPr>
          <w:p w:rsidR="00996668" w:rsidRPr="007747D8" w:rsidRDefault="00996668" w:rsidP="00701766">
            <w:pPr>
              <w:jc w:val="center"/>
              <w:rPr>
                <w:b/>
                <w:color w:val="000000"/>
              </w:rPr>
            </w:pPr>
            <w:r>
              <w:rPr>
                <w:b/>
                <w:color w:val="000000"/>
                <w:sz w:val="22"/>
                <w:szCs w:val="22"/>
              </w:rPr>
              <w:t>Organismo / RI</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BUE</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CABA</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CAT</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CBA</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CHA</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CHU</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COR</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ERI</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FOR</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JUJ</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LAP</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LRJ</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MIS</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MZA</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NEU</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RNO</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SAL</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SCR</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SFE</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SGO</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SJU</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SLU</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N</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TDF</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r w:rsidR="00996668" w:rsidRPr="007747D8" w:rsidTr="00065FF4">
        <w:trPr>
          <w:trHeight w:val="315"/>
          <w:jc w:val="center"/>
        </w:trPr>
        <w:tc>
          <w:tcPr>
            <w:tcW w:w="3282" w:type="dxa"/>
            <w:shd w:val="clear" w:color="auto" w:fill="auto"/>
            <w:noWrap/>
            <w:vAlign w:val="bottom"/>
            <w:hideMark/>
          </w:tcPr>
          <w:p w:rsidR="00996668" w:rsidRPr="007747D8" w:rsidRDefault="00996668" w:rsidP="00701766">
            <w:pPr>
              <w:jc w:val="center"/>
              <w:rPr>
                <w:color w:val="000000"/>
              </w:rPr>
            </w:pPr>
            <w:r w:rsidRPr="007747D8">
              <w:rPr>
                <w:color w:val="000000"/>
                <w:sz w:val="22"/>
                <w:szCs w:val="22"/>
              </w:rPr>
              <w:t>TUC</w:t>
            </w:r>
          </w:p>
        </w:tc>
        <w:tc>
          <w:tcPr>
            <w:tcW w:w="1717" w:type="dxa"/>
            <w:shd w:val="clear" w:color="auto" w:fill="auto"/>
            <w:noWrap/>
            <w:vAlign w:val="center"/>
            <w:hideMark/>
          </w:tcPr>
          <w:p w:rsidR="00996668" w:rsidRPr="007747D8" w:rsidRDefault="00996668" w:rsidP="00701766">
            <w:pPr>
              <w:jc w:val="center"/>
              <w:rPr>
                <w:color w:val="000000"/>
              </w:rPr>
            </w:pPr>
            <w:r>
              <w:rPr>
                <w:color w:val="000000"/>
                <w:sz w:val="22"/>
                <w:szCs w:val="22"/>
              </w:rPr>
              <w:t>S</w:t>
            </w:r>
          </w:p>
        </w:tc>
      </w:tr>
    </w:tbl>
    <w:p w:rsidR="00065FF4" w:rsidRPr="00065FF4" w:rsidRDefault="00065FF4" w:rsidP="00065FF4">
      <w:pPr>
        <w:jc w:val="center"/>
        <w:rPr>
          <w:sz w:val="20"/>
        </w:rPr>
      </w:pPr>
      <w:r w:rsidRPr="00065FF4">
        <w:rPr>
          <w:sz w:val="20"/>
        </w:rPr>
        <w:t>Fonte: (IGLESIAS, 2005; COLACRAI; ZUBELZÚ, 2004; BANZATTO, 2015)</w:t>
      </w:r>
    </w:p>
    <w:p w:rsidR="00845E65" w:rsidRDefault="00845E65" w:rsidP="00845E65">
      <w:pPr>
        <w:rPr>
          <w:rFonts w:eastAsia="Calibri"/>
          <w:color w:val="000000"/>
          <w:sz w:val="23"/>
          <w:szCs w:val="23"/>
        </w:rPr>
      </w:pPr>
    </w:p>
    <w:p w:rsidR="00996668" w:rsidRDefault="00845E65" w:rsidP="00845E65">
      <w:pPr>
        <w:spacing w:line="360" w:lineRule="auto"/>
        <w:ind w:firstLine="708"/>
        <w:jc w:val="both"/>
        <w:rPr>
          <w:rFonts w:eastAsia="Calibri"/>
          <w:color w:val="000000"/>
        </w:rPr>
      </w:pPr>
      <w:r w:rsidRPr="00505222">
        <w:rPr>
          <w:rFonts w:eastAsia="Calibri"/>
          <w:color w:val="000000"/>
        </w:rPr>
        <w:t>Paikin, (2010) observa que, 7</w:t>
      </w:r>
      <w:r w:rsidR="00E754F1">
        <w:rPr>
          <w:rFonts w:eastAsia="Calibri"/>
          <w:color w:val="000000"/>
        </w:rPr>
        <w:t xml:space="preserve"> (sete)</w:t>
      </w:r>
      <w:r w:rsidRPr="00505222">
        <w:rPr>
          <w:rFonts w:eastAsia="Calibri"/>
          <w:color w:val="000000"/>
        </w:rPr>
        <w:t xml:space="preserve"> das 15</w:t>
      </w:r>
      <w:r w:rsidR="00E754F1">
        <w:rPr>
          <w:rFonts w:eastAsia="Calibri"/>
          <w:color w:val="000000"/>
        </w:rPr>
        <w:t xml:space="preserve"> (quinze)</w:t>
      </w:r>
      <w:r w:rsidRPr="00505222">
        <w:rPr>
          <w:rFonts w:eastAsia="Calibri"/>
          <w:color w:val="000000"/>
        </w:rPr>
        <w:t xml:space="preserve"> províncias que dispõem de um espaço para as relações internacionais fizeram a opção de vincular esse organismo ao âmbito econômico. Ao passo que as demais decidiram por estabelecer este espaço na dependência direta ao governador no bojo da área de relações institucionais. </w:t>
      </w:r>
      <w:r w:rsidR="008019EA" w:rsidRPr="00505222">
        <w:rPr>
          <w:rFonts w:eastAsia="Calibri"/>
          <w:color w:val="000000"/>
        </w:rPr>
        <w:t xml:space="preserve">Nesse universo, ressalta-se a exceção da Província de Missiones onde o organismo se </w:t>
      </w:r>
      <w:r w:rsidR="008019EA" w:rsidRPr="00505222">
        <w:rPr>
          <w:rFonts w:eastAsia="Calibri"/>
          <w:color w:val="000000"/>
        </w:rPr>
        <w:lastRenderedPageBreak/>
        <w:t>estabeleceu com forte vinculação a integração regional com foco na cooperação em um caráter social ao tema. (PAIKIN, 2010, p. 46)</w:t>
      </w:r>
      <w:r w:rsidR="007A33E5" w:rsidRPr="00505222">
        <w:rPr>
          <w:rFonts w:eastAsia="Calibri"/>
          <w:color w:val="000000"/>
        </w:rPr>
        <w:t>.</w:t>
      </w:r>
    </w:p>
    <w:p w:rsidR="00505222" w:rsidRDefault="00505222" w:rsidP="00996668">
      <w:pPr>
        <w:autoSpaceDE w:val="0"/>
        <w:autoSpaceDN w:val="0"/>
        <w:adjustRightInd w:val="0"/>
        <w:rPr>
          <w:rFonts w:eastAsia="Calibri"/>
          <w:i/>
          <w:iCs/>
          <w:sz w:val="20"/>
          <w:szCs w:val="20"/>
        </w:rPr>
      </w:pPr>
    </w:p>
    <w:p w:rsidR="00701766" w:rsidRPr="00E918E0" w:rsidRDefault="00701766" w:rsidP="00E918E0">
      <w:pPr>
        <w:pStyle w:val="PargrafodaLista"/>
        <w:numPr>
          <w:ilvl w:val="0"/>
          <w:numId w:val="21"/>
        </w:numPr>
        <w:jc w:val="both"/>
        <w:rPr>
          <w:rFonts w:ascii="Times New Roman" w:hAnsi="Times New Roman"/>
          <w:b/>
          <w:sz w:val="24"/>
        </w:rPr>
      </w:pPr>
      <w:r w:rsidRPr="00E918E0">
        <w:rPr>
          <w:rFonts w:ascii="Times New Roman" w:hAnsi="Times New Roman"/>
          <w:b/>
          <w:sz w:val="24"/>
        </w:rPr>
        <w:t>Contratação de crédito direto aos Organismos Internacionais</w:t>
      </w:r>
    </w:p>
    <w:p w:rsidR="00A261EE" w:rsidRDefault="00A261EE" w:rsidP="00502844">
      <w:pPr>
        <w:spacing w:line="360" w:lineRule="auto"/>
        <w:ind w:firstLine="708"/>
        <w:jc w:val="both"/>
      </w:pPr>
      <w:r>
        <w:t xml:space="preserve">Ezquerro (2008, p. 3-4) assinala que data do início dos anos noventa a aprovação das primeiras operações de crédito com a intermediação do Governo da Nação dado o vínculo que estas operações estabelecem em termos de repasse de recursos do governo federal. </w:t>
      </w:r>
      <w:r w:rsidR="00502844">
        <w:t>Para o autor, é a partir desta década que os organismos multilaterais de crédito integram as províncias a sua estratégia de financiamento. Nesse cenário, dois tipos de negociações foram estabelecidas, i) a transações diretas com os entes subnacionais e ii) acordos indiretos com a participação do governo central (EZQUERRO, 2008, p. 3-4).</w:t>
      </w:r>
    </w:p>
    <w:p w:rsidR="00502844" w:rsidRDefault="00502844" w:rsidP="00502844">
      <w:pPr>
        <w:spacing w:line="360" w:lineRule="auto"/>
        <w:jc w:val="both"/>
      </w:pPr>
      <w:r>
        <w:tab/>
        <w:t>Por seu turno, Marsilio (2006, p. 11) defende que os financiamentos das províncias durante esse período da década de 1990 tiveram como características serem de origens distintas, tendo como de maior relevância os empréstimos públicos. Nesse quadro, integram-se os empréstimos concedidos pelos bancos privados, notadamentes, os estrangeiros. Ademais, o autor considera que “</w:t>
      </w:r>
      <w:r w:rsidRPr="00502844">
        <w:t xml:space="preserve">as províncias fizeram uso significativo das linhas de crédito do Banco Mundial (BM) e do </w:t>
      </w:r>
      <w:r w:rsidR="0078588D">
        <w:t>Banco Interamericano de Desenvolvimento (</w:t>
      </w:r>
      <w:r w:rsidRPr="00502844">
        <w:t>BID</w:t>
      </w:r>
      <w:r w:rsidR="0078588D">
        <w:t>)</w:t>
      </w:r>
      <w:r w:rsidR="00C82677">
        <w:rPr>
          <w:rStyle w:val="Refdenotaderodap"/>
        </w:rPr>
        <w:footnoteReference w:id="11"/>
      </w:r>
      <w:r>
        <w:t>” (MARSILIO, 2006, p. 11).</w:t>
      </w:r>
    </w:p>
    <w:p w:rsidR="0078588D" w:rsidRDefault="00FB2DFD" w:rsidP="0078588D">
      <w:pPr>
        <w:spacing w:line="360" w:lineRule="auto"/>
        <w:jc w:val="both"/>
      </w:pPr>
      <w:r>
        <w:tab/>
        <w:t xml:space="preserve">Carcedo (2016) ao analisar a atuação da Província de Buenos Aires em terrmos de contratação de crédito internacional no período de 2003 – 2015 aponta que essa unidade subnacional conta, por sua relevância geográfica e economica com um maior grau de autonomia na medida em que sua atuação frente ao BID </w:t>
      </w:r>
      <w:r w:rsidR="0078588D">
        <w:t xml:space="preserve">e ao BM se deu de forma direta (Zulbelzú, 2005; Carcedo, 2016). No período em questão a PBA dispôs de 21 linhas de financiamento entre BID e BM. Nesse contexto, 8 deles correspondem a contrações diretas entre a Província e os organismos internacionais e 13 contratos sendo subsidiados pelo governos nacional (Carcedo, 2016; Ministerio de Economía de la Provincia de Buenos Aires, 2016). Em adição, 4 dessas linhas tem autorização para serem repassadas à municípios. Entre as áreas temáticas contempladas se encontram: infraestrutura, saneamento, saúde, desenvolvimento urbano, meio ambiente, modernização do Estado e desenvolvimento institucional. </w:t>
      </w:r>
    </w:p>
    <w:p w:rsidR="0078588D" w:rsidRPr="00F6403F" w:rsidRDefault="0078588D" w:rsidP="0078588D">
      <w:pPr>
        <w:spacing w:line="360" w:lineRule="auto"/>
        <w:jc w:val="both"/>
      </w:pPr>
      <w:r>
        <w:tab/>
        <w:t xml:space="preserve">Cabe ressaltar que o grau de autonomia da Província demanda que estratuturas de ação de captação sejam desenvolvidas. Nesse sentido é possível apontar o papel  </w:t>
      </w:r>
      <w:r w:rsidR="00F6403F">
        <w:t xml:space="preserve">da </w:t>
      </w:r>
      <w:r w:rsidR="00F6403F" w:rsidRPr="00F6403F">
        <w:rPr>
          <w:i/>
        </w:rPr>
        <w:lastRenderedPageBreak/>
        <w:t>Dirección Provincial de Organismos Multilaterales y Financiamiento Bilateral</w:t>
      </w:r>
      <w:r w:rsidR="00F6403F">
        <w:rPr>
          <w:rStyle w:val="Refdenotaderodap"/>
          <w:i/>
        </w:rPr>
        <w:footnoteReference w:id="12"/>
      </w:r>
      <w:r w:rsidR="00F6403F">
        <w:t xml:space="preserve"> vinculada à </w:t>
      </w:r>
      <w:r w:rsidR="00F6403F" w:rsidRPr="00F6403F">
        <w:rPr>
          <w:i/>
        </w:rPr>
        <w:t>Sub-Secretaria de Finanzas del Ministerio de Economía de la Provincia</w:t>
      </w:r>
      <w:r w:rsidR="00F6403F">
        <w:rPr>
          <w:i/>
        </w:rPr>
        <w:t xml:space="preserve"> </w:t>
      </w:r>
      <w:r w:rsidR="00F6403F">
        <w:t xml:space="preserve">e a </w:t>
      </w:r>
      <w:r w:rsidR="00F6403F" w:rsidRPr="00F6403F">
        <w:rPr>
          <w:i/>
        </w:rPr>
        <w:t>Dirección Provincial de Deuda y Crédito Público</w:t>
      </w:r>
      <w:r w:rsidR="00F6403F" w:rsidRPr="0078588D">
        <w:rPr>
          <w:color w:val="FF0000"/>
        </w:rPr>
        <w:t xml:space="preserve"> </w:t>
      </w:r>
      <w:r w:rsidR="00F6403F" w:rsidRPr="00F6403F">
        <w:t>ligada ao Ministerio de Economía.</w:t>
      </w:r>
    </w:p>
    <w:p w:rsidR="002B04B1" w:rsidRDefault="002B04B1" w:rsidP="00701766">
      <w:pPr>
        <w:jc w:val="both"/>
      </w:pPr>
    </w:p>
    <w:p w:rsidR="00701766" w:rsidRPr="0086015B" w:rsidRDefault="00A825B9" w:rsidP="00701766">
      <w:pPr>
        <w:jc w:val="both"/>
        <w:rPr>
          <w:b/>
        </w:rPr>
      </w:pPr>
      <w:r>
        <w:rPr>
          <w:b/>
        </w:rPr>
        <w:t xml:space="preserve">3.1.2 </w:t>
      </w:r>
      <w:r w:rsidR="00701766" w:rsidRPr="0086015B">
        <w:rPr>
          <w:b/>
        </w:rPr>
        <w:t>Capacidade de Coordenação</w:t>
      </w:r>
    </w:p>
    <w:p w:rsidR="00701766" w:rsidRDefault="00701766" w:rsidP="00701766">
      <w:pPr>
        <w:jc w:val="both"/>
      </w:pPr>
    </w:p>
    <w:p w:rsidR="00701766" w:rsidRPr="00DA439E" w:rsidRDefault="00701766" w:rsidP="00701766">
      <w:pPr>
        <w:pStyle w:val="PargrafodaLista"/>
        <w:numPr>
          <w:ilvl w:val="0"/>
          <w:numId w:val="19"/>
        </w:numPr>
        <w:jc w:val="both"/>
        <w:rPr>
          <w:rFonts w:ascii="Times New Roman" w:hAnsi="Times New Roman"/>
          <w:sz w:val="24"/>
        </w:rPr>
      </w:pPr>
      <w:r w:rsidRPr="00DA439E">
        <w:rPr>
          <w:rFonts w:ascii="Times New Roman" w:hAnsi="Times New Roman"/>
          <w:b/>
          <w:bCs/>
          <w:color w:val="000000"/>
          <w:sz w:val="24"/>
        </w:rPr>
        <w:t>Instrumentos legais e normativos voltados à distribuição de competências</w:t>
      </w:r>
    </w:p>
    <w:p w:rsidR="00701766" w:rsidRDefault="00701766" w:rsidP="00701766">
      <w:pPr>
        <w:spacing w:line="360" w:lineRule="auto"/>
        <w:ind w:firstLine="708"/>
        <w:jc w:val="both"/>
        <w:rPr>
          <w:color w:val="000000"/>
        </w:rPr>
      </w:pPr>
      <w:r>
        <w:t xml:space="preserve">A Argentina é um país dividido em 24 jurisdições políticas autônomas, sendo 23 províncias e a cidade de Buenos Aires que é a capital da República. Nicolin (2002, p. 5) aponta que a autonomia política dos governos subnacionais no sistema federativo argentino é elevada. Ademais, considera que a política provincial é um elemento de relevância dada à natureza do sistema eleitoral do país. De acordo com Iglesias e tal (2009) o federalismo argentino, com a redemocratização (1983), notadamente a reforma constitucional de 1994, ganharia novos contornos onde uma dinâmica cooperativa substituiria uma lógica “dual” ou competitiva que vigorava no período anterior. Para os autores, na esteira desse processo, o fim da Guerra Fria e os efeitos da globalização se fariam sentir com o estabelecimento da </w:t>
      </w:r>
      <w:r w:rsidRPr="00082A66">
        <w:rPr>
          <w:color w:val="000000"/>
        </w:rPr>
        <w:t>abertura de uma fenda de oportunidades para ampliação do estabelecimento de relações além das fronteiras nacionais das províncias argentinas.  </w:t>
      </w:r>
      <w:r>
        <w:rPr>
          <w:color w:val="000000"/>
        </w:rPr>
        <w:t xml:space="preserve">Na visão dos autores </w:t>
      </w:r>
      <w:r>
        <w:rPr>
          <w:rStyle w:val="Refdenotaderodap"/>
          <w:color w:val="000000"/>
        </w:rPr>
        <w:footnoteReference w:id="13"/>
      </w:r>
    </w:p>
    <w:p w:rsidR="00701766" w:rsidRDefault="00701766" w:rsidP="00701766">
      <w:pPr>
        <w:spacing w:line="360" w:lineRule="auto"/>
        <w:ind w:firstLine="708"/>
        <w:jc w:val="both"/>
        <w:rPr>
          <w:color w:val="000000"/>
        </w:rPr>
      </w:pPr>
      <w:r>
        <w:rPr>
          <w:color w:val="000000"/>
        </w:rPr>
        <w:t xml:space="preserve">A constituição argentina, em relação às </w:t>
      </w:r>
      <w:r w:rsidRPr="00561376">
        <w:rPr>
          <w:i/>
          <w:color w:val="000000"/>
        </w:rPr>
        <w:t>Autoridades de la Nación</w:t>
      </w:r>
      <w:r>
        <w:rPr>
          <w:i/>
          <w:color w:val="000000"/>
        </w:rPr>
        <w:t xml:space="preserve">  </w:t>
      </w:r>
      <w:r w:rsidRPr="00561376">
        <w:rPr>
          <w:color w:val="000000"/>
        </w:rPr>
        <w:t xml:space="preserve">faz referência ao Governo Federal (art. 44° ao 120°/CN94) e o Titulo Segundo dedica-se aos governos das </w:t>
      </w:r>
      <w:r w:rsidRPr="00561376">
        <w:rPr>
          <w:i/>
          <w:iCs/>
          <w:color w:val="000000"/>
        </w:rPr>
        <w:t xml:space="preserve">Províncias </w:t>
      </w:r>
      <w:r w:rsidRPr="00561376">
        <w:rPr>
          <w:color w:val="000000"/>
        </w:rPr>
        <w:t xml:space="preserve">e da cidade de Buenos Aires (art. 121° ao 129°/CN94). </w:t>
      </w:r>
      <w:r>
        <w:rPr>
          <w:color w:val="000000"/>
        </w:rPr>
        <w:t>Nesse contexto, quanto a</w:t>
      </w:r>
      <w:r w:rsidRPr="00561376">
        <w:rPr>
          <w:color w:val="000000"/>
        </w:rPr>
        <w:t xml:space="preserve">os </w:t>
      </w:r>
      <w:r w:rsidRPr="00561376">
        <w:rPr>
          <w:i/>
          <w:color w:val="000000"/>
        </w:rPr>
        <w:t>poderes exclusivos</w:t>
      </w:r>
      <w:r w:rsidRPr="00561376">
        <w:rPr>
          <w:color w:val="000000"/>
        </w:rPr>
        <w:t xml:space="preserve"> do Governo Federal destaca: os </w:t>
      </w:r>
      <w:r w:rsidRPr="00561376">
        <w:rPr>
          <w:bCs/>
          <w:i/>
          <w:iCs/>
          <w:color w:val="000000"/>
        </w:rPr>
        <w:t>assuntos internacionais</w:t>
      </w:r>
      <w:r w:rsidRPr="00561376">
        <w:rPr>
          <w:color w:val="000000"/>
        </w:rPr>
        <w:t xml:space="preserve">; </w:t>
      </w:r>
      <w:r w:rsidRPr="00561376">
        <w:rPr>
          <w:color w:val="000000"/>
        </w:rPr>
        <w:lastRenderedPageBreak/>
        <w:t xml:space="preserve">a defesa; comércio interno, internacional e alfândega; finanças, bancos e emissão de moeda; cidadania; fixação dos limites </w:t>
      </w:r>
      <w:r w:rsidRPr="00561376">
        <w:rPr>
          <w:i/>
          <w:iCs/>
          <w:color w:val="000000"/>
        </w:rPr>
        <w:t xml:space="preserve">interprovinciais </w:t>
      </w:r>
      <w:r w:rsidRPr="00561376">
        <w:rPr>
          <w:color w:val="000000"/>
        </w:rPr>
        <w:t xml:space="preserve">entre outros. </w:t>
      </w:r>
      <w:r>
        <w:rPr>
          <w:color w:val="000000"/>
        </w:rPr>
        <w:t xml:space="preserve">Por sua vez, os entes subnacionais orientam sua ação internacional tendo como ponto de partida </w:t>
      </w:r>
      <w:r w:rsidRPr="00561376">
        <w:rPr>
          <w:color w:val="000000"/>
        </w:rPr>
        <w:t>o art. 124</w:t>
      </w:r>
      <w:r>
        <w:rPr>
          <w:color w:val="000000"/>
        </w:rPr>
        <w:t xml:space="preserve"> que considera:</w:t>
      </w:r>
    </w:p>
    <w:p w:rsidR="00701766" w:rsidRPr="00FD302C" w:rsidRDefault="00701766" w:rsidP="00701766">
      <w:pPr>
        <w:ind w:left="2340"/>
        <w:jc w:val="both"/>
      </w:pPr>
      <w:r w:rsidRPr="00FD302C">
        <w:rPr>
          <w:color w:val="000000"/>
          <w:sz w:val="20"/>
          <w:szCs w:val="20"/>
        </w:rPr>
        <w:t xml:space="preserve">As províncias poderão criar regiões para o desenvolvimento econômico e social e estabelecer órgãos próprios para o cumprimento de suas finalidades e poderão também </w:t>
      </w:r>
      <w:r w:rsidRPr="00561376">
        <w:rPr>
          <w:i/>
          <w:color w:val="000000"/>
          <w:sz w:val="20"/>
          <w:szCs w:val="20"/>
        </w:rPr>
        <w:t>celebrar convênios internacionais</w:t>
      </w:r>
      <w:r w:rsidRPr="00FD302C">
        <w:rPr>
          <w:color w:val="000000"/>
          <w:sz w:val="20"/>
          <w:szCs w:val="20"/>
        </w:rPr>
        <w:t xml:space="preserve"> que </w:t>
      </w:r>
      <w:r w:rsidRPr="00561376">
        <w:rPr>
          <w:i/>
          <w:color w:val="000000"/>
          <w:sz w:val="20"/>
          <w:szCs w:val="20"/>
        </w:rPr>
        <w:t>não sejam incompatíveis com a política externa da Nação</w:t>
      </w:r>
      <w:r w:rsidRPr="00FD302C">
        <w:rPr>
          <w:color w:val="000000"/>
          <w:sz w:val="20"/>
          <w:szCs w:val="20"/>
        </w:rPr>
        <w:t>, desde que não afetem as competências do Governo federal ou o crédito público da Nação</w:t>
      </w:r>
      <w:r>
        <w:rPr>
          <w:rStyle w:val="Refdenotaderodap"/>
          <w:color w:val="000000"/>
          <w:sz w:val="20"/>
          <w:szCs w:val="20"/>
        </w:rPr>
        <w:footnoteReference w:id="14"/>
      </w:r>
      <w:r w:rsidRPr="00FD302C">
        <w:rPr>
          <w:color w:val="000000"/>
          <w:sz w:val="20"/>
          <w:szCs w:val="20"/>
        </w:rPr>
        <w:t xml:space="preserve"> (CN, 1994)</w:t>
      </w:r>
    </w:p>
    <w:p w:rsidR="00701766" w:rsidRPr="00FD302C" w:rsidRDefault="00701766" w:rsidP="00701766"/>
    <w:p w:rsidR="00701766" w:rsidRDefault="00701766" w:rsidP="00701766">
      <w:pPr>
        <w:spacing w:line="360" w:lineRule="auto"/>
        <w:ind w:firstLine="708"/>
        <w:jc w:val="both"/>
        <w:rPr>
          <w:color w:val="000000"/>
        </w:rPr>
      </w:pPr>
      <w:r w:rsidRPr="00D410EC">
        <w:rPr>
          <w:color w:val="000000"/>
          <w:shd w:val="clear" w:color="auto" w:fill="FFFFFF"/>
        </w:rPr>
        <w:t xml:space="preserve">Dessa maneira, </w:t>
      </w:r>
      <w:r w:rsidRPr="00D410EC">
        <w:rPr>
          <w:color w:val="000000"/>
        </w:rPr>
        <w:t>a</w:t>
      </w:r>
      <w:r>
        <w:rPr>
          <w:color w:val="000000"/>
        </w:rPr>
        <w:t>o</w:t>
      </w:r>
      <w:r w:rsidRPr="00D410EC">
        <w:rPr>
          <w:color w:val="000000"/>
        </w:rPr>
        <w:t xml:space="preserve"> tratar diretamente das capacidades de celebrar convênios pelas Províncias argentinas e da cidade de Buenos Aires a constituição argentina passou a ser, entre os países da América Latina, a que inaugur</w:t>
      </w:r>
      <w:r>
        <w:rPr>
          <w:color w:val="000000"/>
        </w:rPr>
        <w:t>a</w:t>
      </w:r>
      <w:r w:rsidRPr="00D410EC">
        <w:rPr>
          <w:color w:val="000000"/>
        </w:rPr>
        <w:t>ria a cláusula constitucional da paradiplomacia.  </w:t>
      </w:r>
      <w:r>
        <w:rPr>
          <w:color w:val="000000"/>
        </w:rPr>
        <w:t>Reside exatamente nesse ponto, o debate sobre a preferência dos constituintes argentino ao “</w:t>
      </w:r>
      <w:r w:rsidRPr="00D410EC">
        <w:rPr>
          <w:color w:val="000000"/>
        </w:rPr>
        <w:t xml:space="preserve">fazer menção a denominação ‘convênios internacionais’ da qual as províncias podem lançar mão em relação a Estados estrangeiro, ao invés de utilizar o termo “tratado” em sua definição”. </w:t>
      </w:r>
    </w:p>
    <w:p w:rsidR="00701766" w:rsidRDefault="00701766" w:rsidP="00E56362">
      <w:pPr>
        <w:ind w:firstLine="708"/>
        <w:jc w:val="both"/>
        <w:rPr>
          <w:color w:val="000000"/>
        </w:rPr>
      </w:pPr>
    </w:p>
    <w:p w:rsidR="00701766" w:rsidRDefault="00701766" w:rsidP="00701766">
      <w:pPr>
        <w:pStyle w:val="PargrafodaLista"/>
        <w:numPr>
          <w:ilvl w:val="0"/>
          <w:numId w:val="18"/>
        </w:numPr>
        <w:jc w:val="both"/>
        <w:rPr>
          <w:rFonts w:ascii="Times New Roman" w:hAnsi="Times New Roman"/>
          <w:b/>
          <w:sz w:val="24"/>
        </w:rPr>
      </w:pPr>
      <w:r w:rsidRPr="001371FF">
        <w:rPr>
          <w:rFonts w:ascii="Times New Roman" w:hAnsi="Times New Roman"/>
          <w:b/>
          <w:sz w:val="24"/>
        </w:rPr>
        <w:t>Instâncias Federativas e mecanismos de negociação intergovernamental</w:t>
      </w:r>
    </w:p>
    <w:p w:rsidR="00DF47C7" w:rsidRDefault="003F0DF3" w:rsidP="00701766">
      <w:pPr>
        <w:spacing w:line="360" w:lineRule="auto"/>
        <w:ind w:firstLine="708"/>
        <w:jc w:val="both"/>
      </w:pPr>
      <w:r>
        <w:t>Colacrai e Zulbelzu</w:t>
      </w:r>
      <w:r>
        <w:rPr>
          <w:rStyle w:val="Refdenotaderodap"/>
        </w:rPr>
        <w:footnoteReference w:id="15"/>
      </w:r>
      <w:r>
        <w:t xml:space="preserve"> (2004) ao apontarem a existência de espaços em âmbito federal para o estabelecimento de diálogo entre o governo central e os governos provinciais em temas de relações exteriores apontam como marco o decreto No 1190 de julho de 1992 como marco. Caberia a esse instrumento a criação da </w:t>
      </w:r>
      <w:r w:rsidRPr="003F0DF3">
        <w:rPr>
          <w:i/>
        </w:rPr>
        <w:t>Subsecretaría de Relaciones Institucionales</w:t>
      </w:r>
      <w:r>
        <w:t xml:space="preserve"> subordinada </w:t>
      </w:r>
      <w:r w:rsidRPr="003F0DF3">
        <w:rPr>
          <w:i/>
        </w:rPr>
        <w:t>Secretaría General y de Coordinación</w:t>
      </w:r>
      <w:r>
        <w:t xml:space="preserve">. Para os autores, a importância da Subsecretaria para as relações federativas em âmbito de relações internacionais estaria marcada, de partida, pelos objetivos estabelecidos para o organismo. </w:t>
      </w:r>
    </w:p>
    <w:p w:rsidR="003F0DF3" w:rsidRDefault="003F0DF3" w:rsidP="00701766">
      <w:pPr>
        <w:spacing w:line="360" w:lineRule="auto"/>
        <w:ind w:firstLine="708"/>
        <w:jc w:val="both"/>
      </w:pPr>
      <w:r>
        <w:t xml:space="preserve">O primeiro deles estaria associado à necessidade de “asistir, instrumentar y efectuar la coordinación entre el MINISTERIO DE RELACIONES EXTERIORES Y CULTO y los organismos y autoridades de los </w:t>
      </w:r>
      <w:r w:rsidRPr="003F0DF3">
        <w:rPr>
          <w:i/>
        </w:rPr>
        <w:t>distintos Poderes del Estado</w:t>
      </w:r>
      <w:r>
        <w:t xml:space="preserve">, en el ámbito nacional, provincial o municipal, entes regionales, e instituciones intermédias”. (COLACRAI E ZULBELZU, 2004 p. 4). De forma complementar a essa estrutura </w:t>
      </w:r>
      <w:r w:rsidR="00DF47C7">
        <w:t xml:space="preserve"> </w:t>
      </w:r>
      <w:r w:rsidR="00DF47C7">
        <w:lastRenderedPageBreak/>
        <w:t>outras quatros direções também seriam estabelecidas para contribuir a esse propósito: 1) la de Asuntos Nacionales; 2) la de Asuntos Parlamentarios; 3) Organizaciones Intermedias; 4) la de Asuntos Federales. Nesse cen</w:t>
      </w:r>
      <w:r w:rsidR="00CC633F">
        <w:t>á</w:t>
      </w:r>
      <w:r w:rsidR="00DF47C7">
        <w:t xml:space="preserve">rio, caberia a última direção a relações com as províncias e as autoridades municipais. </w:t>
      </w:r>
    </w:p>
    <w:p w:rsidR="00DF47C7" w:rsidRDefault="00DF47C7" w:rsidP="00701766">
      <w:pPr>
        <w:spacing w:line="360" w:lineRule="auto"/>
        <w:ind w:firstLine="708"/>
        <w:jc w:val="both"/>
      </w:pPr>
      <w:r>
        <w:t xml:space="preserve">Nessa trajetória, com a mudança organizacional durante a gestão do Ministro Rodríguez Giavarini (1999) as quatro direções passariam a estar no bojo da la </w:t>
      </w:r>
      <w:r w:rsidRPr="00DF47C7">
        <w:rPr>
          <w:i/>
        </w:rPr>
        <w:t>Dirección General de Relaciones Institucionales</w:t>
      </w:r>
      <w:r>
        <w:t xml:space="preserve"> que por sua vez repostaria suas atividades à </w:t>
      </w:r>
      <w:r w:rsidRPr="00DF47C7">
        <w:rPr>
          <w:i/>
        </w:rPr>
        <w:t>Secretaría de Comercio y Relaciones Económicas Internacionales y Asuntos Consulares</w:t>
      </w:r>
      <w:r>
        <w:t xml:space="preserve">. Com relação ao segundo objetivo o texto marca que cabe </w:t>
      </w:r>
      <w:r w:rsidRPr="00DF47C7">
        <w:rPr>
          <w:i/>
        </w:rPr>
        <w:t>Dirección General de Relaciones Institucionales</w:t>
      </w:r>
      <w:r>
        <w:rPr>
          <w:i/>
        </w:rPr>
        <w:t>:</w:t>
      </w:r>
    </w:p>
    <w:p w:rsidR="00DF47C7" w:rsidRPr="00DF47C7" w:rsidRDefault="003F0DF3" w:rsidP="00CC633F">
      <w:pPr>
        <w:ind w:left="2268"/>
        <w:jc w:val="both"/>
        <w:rPr>
          <w:sz w:val="20"/>
          <w:szCs w:val="20"/>
        </w:rPr>
      </w:pPr>
      <w:r w:rsidRPr="00DF47C7">
        <w:rPr>
          <w:sz w:val="20"/>
          <w:szCs w:val="20"/>
        </w:rPr>
        <w:t xml:space="preserve">“formular los planes, programas y proyectos que contribuyan al fortalecimiento de las gestiones que en materia de política exterior realicen las autoridades nacionales, provinciales o municipales, ya se trate de organismos centralizados o descentralizados, o instituciones intermedias y aquellos otros destinados a canalizar su participación en el diseño y ejecución temas atinentes a la firma de acuerdos o convenios internacionales de dicha política.” </w:t>
      </w:r>
      <w:r w:rsidR="00DF47C7" w:rsidRPr="00DF47C7">
        <w:rPr>
          <w:sz w:val="20"/>
          <w:szCs w:val="20"/>
        </w:rPr>
        <w:t>(MREC, 199</w:t>
      </w:r>
      <w:r w:rsidR="003242C4">
        <w:rPr>
          <w:sz w:val="20"/>
          <w:szCs w:val="20"/>
        </w:rPr>
        <w:t>9</w:t>
      </w:r>
      <w:r w:rsidR="00DF47C7" w:rsidRPr="00DF47C7">
        <w:rPr>
          <w:sz w:val="20"/>
          <w:szCs w:val="20"/>
        </w:rPr>
        <w:t>)</w:t>
      </w:r>
    </w:p>
    <w:p w:rsidR="00DF47C7" w:rsidRDefault="00DF47C7" w:rsidP="00DF47C7">
      <w:pPr>
        <w:jc w:val="both"/>
      </w:pPr>
    </w:p>
    <w:p w:rsidR="003242C4" w:rsidRPr="002B04B1" w:rsidRDefault="00DF47C7" w:rsidP="00701766">
      <w:pPr>
        <w:spacing w:line="360" w:lineRule="auto"/>
        <w:ind w:firstLine="708"/>
        <w:jc w:val="both"/>
      </w:pPr>
      <w:r>
        <w:t>De acordo com Colacrai e Zulbelzu</w:t>
      </w:r>
      <w:r>
        <w:rPr>
          <w:rStyle w:val="Refdenotaderodap"/>
        </w:rPr>
        <w:footnoteReference w:id="16"/>
      </w:r>
      <w:r>
        <w:t xml:space="preserve"> (2004) a reforma atenderia a uma demanda por coordenação entre distintos </w:t>
      </w:r>
      <w:r w:rsidR="003242C4">
        <w:t>níveis de governo. Dessa maneira, “</w:t>
      </w:r>
      <w:r w:rsidR="003F0DF3">
        <w:t xml:space="preserve">dado el número cada vez mayor de acciones externas emprendidas por las provincias argentinas, se hace necesario el asesoramiento y </w:t>
      </w:r>
      <w:r w:rsidR="003242C4">
        <w:t xml:space="preserve">colaboración de las Direcciones”. </w:t>
      </w:r>
      <w:r w:rsidR="002B04B1">
        <w:t xml:space="preserve">Entre as ações da direção se encontra o programa </w:t>
      </w:r>
      <w:r w:rsidR="002B04B1" w:rsidRPr="002B04B1">
        <w:rPr>
          <w:i/>
          <w:lang w:val="es-ES"/>
        </w:rPr>
        <w:t>“Cancillería al Interior”</w:t>
      </w:r>
      <w:r w:rsidR="002B04B1">
        <w:rPr>
          <w:i/>
          <w:lang w:val="es-ES"/>
        </w:rPr>
        <w:t xml:space="preserve"> </w:t>
      </w:r>
      <w:r w:rsidR="002B04B1">
        <w:rPr>
          <w:lang w:val="es-ES"/>
        </w:rPr>
        <w:t>que tem por objetivo a realização de reuniões de gabinete pelo Ministério na busca de coletar e absorver informações das províncias a temas sejam relevantes e estajam na interface da atuação da burocracia e das unidades subanacionais.  Nesse lista, pode –se pontuar a iniciativa “</w:t>
      </w:r>
      <w:r w:rsidR="002B04B1" w:rsidRPr="0024313D">
        <w:rPr>
          <w:lang w:val="es-ES"/>
        </w:rPr>
        <w:t>Interior: Prioridad para Exteriores”</w:t>
      </w:r>
      <w:r w:rsidR="002B04B1">
        <w:rPr>
          <w:lang w:val="es-ES"/>
        </w:rPr>
        <w:t xml:space="preserve">. O programa busca, com a realização de ações períodicas, capacitar funcionarios do nível subnacioal em temas de política exterior. </w:t>
      </w:r>
    </w:p>
    <w:p w:rsidR="00DF47C7" w:rsidRDefault="00DF47C7" w:rsidP="00701766">
      <w:pPr>
        <w:autoSpaceDE w:val="0"/>
        <w:autoSpaceDN w:val="0"/>
        <w:adjustRightInd w:val="0"/>
        <w:rPr>
          <w:rFonts w:ascii="Arial" w:eastAsia="Calibri" w:hAnsi="Arial" w:cs="Arial"/>
          <w:color w:val="333333"/>
          <w:sz w:val="14"/>
          <w:szCs w:val="14"/>
        </w:rPr>
      </w:pPr>
    </w:p>
    <w:p w:rsidR="004A0644" w:rsidRPr="001371FF" w:rsidRDefault="004A0644" w:rsidP="004A0644">
      <w:pPr>
        <w:pStyle w:val="PargrafodaLista"/>
        <w:numPr>
          <w:ilvl w:val="0"/>
          <w:numId w:val="18"/>
        </w:numPr>
        <w:jc w:val="both"/>
        <w:rPr>
          <w:rFonts w:ascii="Times New Roman" w:hAnsi="Times New Roman"/>
          <w:b/>
          <w:sz w:val="24"/>
        </w:rPr>
      </w:pPr>
      <w:r w:rsidRPr="001371FF">
        <w:rPr>
          <w:rFonts w:ascii="Times New Roman" w:hAnsi="Times New Roman"/>
          <w:b/>
          <w:sz w:val="24"/>
        </w:rPr>
        <w:t>Papel</w:t>
      </w:r>
      <w:r>
        <w:rPr>
          <w:rFonts w:ascii="Times New Roman" w:hAnsi="Times New Roman"/>
          <w:b/>
          <w:sz w:val="24"/>
        </w:rPr>
        <w:t xml:space="preserve"> coordenador/indutor do governo </w:t>
      </w:r>
      <w:r w:rsidRPr="001371FF">
        <w:rPr>
          <w:rFonts w:ascii="Times New Roman" w:hAnsi="Times New Roman"/>
          <w:b/>
          <w:sz w:val="24"/>
        </w:rPr>
        <w:t>estadual</w:t>
      </w:r>
    </w:p>
    <w:p w:rsidR="009B2034" w:rsidRDefault="00B61024" w:rsidP="009B2034">
      <w:pPr>
        <w:pStyle w:val="Pr-formataoHTML"/>
        <w:shd w:val="clear" w:color="auto" w:fill="FFFFFF"/>
        <w:spacing w:line="360" w:lineRule="auto"/>
        <w:jc w:val="both"/>
        <w:rPr>
          <w:rFonts w:ascii="Times New Roman" w:hAnsi="Times New Roman" w:cs="Times New Roman"/>
          <w:b/>
          <w:color w:val="212121"/>
          <w:sz w:val="24"/>
        </w:rPr>
      </w:pPr>
      <w:r>
        <w:rPr>
          <w:rFonts w:ascii="Times New Roman" w:hAnsi="Times New Roman" w:cs="Times New Roman"/>
          <w:b/>
          <w:color w:val="212121"/>
          <w:sz w:val="24"/>
        </w:rPr>
        <w:t>A Provínci</w:t>
      </w:r>
      <w:r w:rsidR="009B2034">
        <w:rPr>
          <w:rFonts w:ascii="Times New Roman" w:hAnsi="Times New Roman" w:cs="Times New Roman"/>
          <w:b/>
          <w:color w:val="212121"/>
          <w:sz w:val="24"/>
        </w:rPr>
        <w:t>a de Buenos Aires: a</w:t>
      </w:r>
      <w:r w:rsidR="009B2034" w:rsidRPr="00116C9F">
        <w:rPr>
          <w:rFonts w:ascii="Times New Roman" w:hAnsi="Times New Roman" w:cs="Times New Roman"/>
          <w:b/>
          <w:color w:val="212121"/>
          <w:sz w:val="24"/>
        </w:rPr>
        <w:t xml:space="preserve"> eleição de Daniel Scioli (2007 – 2010)</w:t>
      </w:r>
    </w:p>
    <w:p w:rsidR="009B2034"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color w:val="212121"/>
          <w:sz w:val="24"/>
        </w:rPr>
        <w:tab/>
        <w:t xml:space="preserve">Cabe ressaltar, como ponto de partida, o papel chave que a Província de Buenos Aires (PBA) desempenha para na política nacional </w:t>
      </w:r>
      <w:r w:rsidR="00D57BDD">
        <w:rPr>
          <w:rFonts w:ascii="Times New Roman" w:hAnsi="Times New Roman" w:cs="Times New Roman"/>
          <w:color w:val="212121"/>
          <w:sz w:val="24"/>
        </w:rPr>
        <w:t xml:space="preserve">Argentina </w:t>
      </w:r>
      <w:r>
        <w:rPr>
          <w:rFonts w:ascii="Times New Roman" w:hAnsi="Times New Roman" w:cs="Times New Roman"/>
          <w:color w:val="212121"/>
          <w:sz w:val="24"/>
        </w:rPr>
        <w:t xml:space="preserve">e que conduz, consequentemente, ao imperativo dos governos centrais acompanharem de perto a dinâmica política e as corridas eleitorais nessa unidade subnacional. De acordo com </w:t>
      </w:r>
      <w:r>
        <w:rPr>
          <w:rFonts w:ascii="Times New Roman" w:hAnsi="Times New Roman" w:cs="Times New Roman"/>
          <w:color w:val="212121"/>
          <w:sz w:val="24"/>
        </w:rPr>
        <w:lastRenderedPageBreak/>
        <w:t>Ollier (2007) “</w:t>
      </w:r>
      <w:r w:rsidRPr="00856576">
        <w:rPr>
          <w:rFonts w:ascii="Times New Roman" w:hAnsi="Times New Roman" w:cs="Times New Roman"/>
          <w:sz w:val="24"/>
        </w:rPr>
        <w:t>Su notable potencial des/estabilizadory su influencia han sido destacados por su hipertrofia, por su poder</w:t>
      </w:r>
      <w:r>
        <w:rPr>
          <w:rFonts w:ascii="Times New Roman" w:hAnsi="Times New Roman" w:cs="Times New Roman"/>
          <w:sz w:val="24"/>
        </w:rPr>
        <w:t xml:space="preserve"> </w:t>
      </w:r>
      <w:r w:rsidRPr="00856576">
        <w:rPr>
          <w:rFonts w:ascii="Times New Roman" w:hAnsi="Times New Roman" w:cs="Times New Roman"/>
          <w:sz w:val="24"/>
        </w:rPr>
        <w:t xml:space="preserve">institucional en la Cámara de Diputados de la Nación y por su </w:t>
      </w:r>
      <w:r>
        <w:rPr>
          <w:rFonts w:ascii="Times New Roman" w:hAnsi="Times New Roman" w:cs="Times New Roman"/>
          <w:sz w:val="24"/>
        </w:rPr>
        <w:t xml:space="preserve">cercania </w:t>
      </w:r>
      <w:r w:rsidRPr="00856576">
        <w:rPr>
          <w:rFonts w:ascii="Times New Roman" w:hAnsi="Times New Roman" w:cs="Times New Roman"/>
          <w:sz w:val="24"/>
        </w:rPr>
        <w:t>geográfica al poder central</w:t>
      </w:r>
      <w:r>
        <w:rPr>
          <w:rFonts w:ascii="Times New Roman" w:hAnsi="Times New Roman" w:cs="Times New Roman"/>
          <w:sz w:val="24"/>
        </w:rPr>
        <w:t xml:space="preserve">”. Para desenvolver sua análise sobre a dinâmica política estabelecida entre La Plata e a Casa Rosada a autora identifica, no recorte histórico, observado distintas dinâmicas de interrelação identificado por momentos de “territorialización” (Calvo, Escobar, 2005); “provincialização” (Navarro, 2003) e/ou um processo de “nacionalização” (Ollier, 2007). </w:t>
      </w:r>
    </w:p>
    <w:p w:rsidR="009B2034"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t xml:space="preserve">Nesse sentido, há um “espaço cinzento” em que ocorre a interação e configuram-se movimentos em que a superposição dos atores geram resultados distintos como: i) um maior papel da província sobre a nação – impacto “provincializador” – ii) maior papel da nação sobre a província – impacto “nacionalizador” e iii) e uma dimensão cooperativa. A autora observa esses movimentos por meio da relação entre as lideranças políticas relevantes nas duas esferas de governo em três marcos políticos distintos em 1983 – 1987 com atenção as lideranças de Antônio Cafiero e Hermínio Iglesias; no período de 1988 – 2003 seu enfoque recai sobre os papeis desempenhados por Duhalde e Carlos Menem e por fim de 2003 – 2007 o mesmo Duhalde é observado em sua relação com Néstor Kirchner. </w:t>
      </w:r>
    </w:p>
    <w:p w:rsidR="009B2034"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t xml:space="preserve">Para nossa análise, a importância da pesquisa apontada recai sobre o último período que compreende os anos de 2003 – 2007. Isto por que, a dinâmica política, em termos de interação entre os palcos políticos das distintas esferas de governo, teve um impacto significativo na definição das candidaturas que ao final teria como conseqüência a chegada de Daniel Scioli ao governo da PBA.  A emergência das inquietudes e articulações em torno da sucessão de Felipe Solá no governo de La Plata resultou na conformação de uma </w:t>
      </w:r>
      <w:r w:rsidRPr="00452A9E">
        <w:rPr>
          <w:rFonts w:ascii="Times New Roman" w:hAnsi="Times New Roman" w:cs="Times New Roman"/>
          <w:sz w:val="24"/>
        </w:rPr>
        <w:t>série de impossibilidades</w:t>
      </w:r>
      <w:r>
        <w:rPr>
          <w:rStyle w:val="Refdenotaderodap"/>
          <w:rFonts w:eastAsia="Calibri"/>
        </w:rPr>
        <w:footnoteReference w:id="17"/>
      </w:r>
      <w:r w:rsidRPr="00452A9E">
        <w:rPr>
          <w:rFonts w:ascii="Times New Roman" w:hAnsi="Times New Roman" w:cs="Times New Roman"/>
          <w:sz w:val="24"/>
        </w:rPr>
        <w:t xml:space="preserve"> </w:t>
      </w:r>
      <w:r>
        <w:rPr>
          <w:rFonts w:ascii="Times New Roman" w:hAnsi="Times New Roman" w:cs="Times New Roman"/>
          <w:sz w:val="24"/>
        </w:rPr>
        <w:t xml:space="preserve">que o </w:t>
      </w:r>
      <w:r w:rsidRPr="00452A9E">
        <w:rPr>
          <w:rFonts w:ascii="Times New Roman" w:hAnsi="Times New Roman" w:cs="Times New Roman"/>
          <w:sz w:val="24"/>
        </w:rPr>
        <w:t xml:space="preserve">governador </w:t>
      </w:r>
      <w:r>
        <w:rPr>
          <w:rFonts w:ascii="Times New Roman" w:hAnsi="Times New Roman" w:cs="Times New Roman"/>
          <w:sz w:val="24"/>
        </w:rPr>
        <w:t>encontrou</w:t>
      </w:r>
      <w:r w:rsidRPr="00452A9E">
        <w:rPr>
          <w:rFonts w:ascii="Times New Roman" w:hAnsi="Times New Roman" w:cs="Times New Roman"/>
          <w:sz w:val="24"/>
        </w:rPr>
        <w:t xml:space="preserve"> para apresenta</w:t>
      </w:r>
      <w:r>
        <w:rPr>
          <w:rFonts w:ascii="Times New Roman" w:hAnsi="Times New Roman" w:cs="Times New Roman"/>
          <w:sz w:val="24"/>
        </w:rPr>
        <w:t xml:space="preserve">r-se como candidato a reeleição </w:t>
      </w:r>
      <w:r w:rsidRPr="00452A9E">
        <w:rPr>
          <w:rFonts w:ascii="Times New Roman" w:hAnsi="Times New Roman" w:cs="Times New Roman"/>
          <w:sz w:val="24"/>
        </w:rPr>
        <w:t>(Rodriguez, 2009)</w:t>
      </w:r>
      <w:r>
        <w:rPr>
          <w:rFonts w:ascii="Times New Roman" w:hAnsi="Times New Roman" w:cs="Times New Roman"/>
          <w:sz w:val="24"/>
        </w:rPr>
        <w:t>.</w:t>
      </w:r>
    </w:p>
    <w:p w:rsidR="009B2034" w:rsidRPr="0009539A"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t xml:space="preserve">As soluções desenhadas para a resolução da questão passariam, necessariamente, pela </w:t>
      </w:r>
      <w:r w:rsidRPr="00452A9E">
        <w:rPr>
          <w:rFonts w:ascii="Times New Roman" w:hAnsi="Times New Roman" w:cs="Times New Roman"/>
          <w:sz w:val="24"/>
        </w:rPr>
        <w:t xml:space="preserve">a influência significativa </w:t>
      </w:r>
      <w:r>
        <w:rPr>
          <w:rFonts w:ascii="Times New Roman" w:hAnsi="Times New Roman" w:cs="Times New Roman"/>
          <w:sz w:val="24"/>
        </w:rPr>
        <w:t xml:space="preserve">e </w:t>
      </w:r>
      <w:r w:rsidRPr="00452A9E">
        <w:rPr>
          <w:rFonts w:ascii="Times New Roman" w:hAnsi="Times New Roman" w:cs="Times New Roman"/>
          <w:sz w:val="24"/>
        </w:rPr>
        <w:t xml:space="preserve">participação </w:t>
      </w:r>
      <w:r>
        <w:rPr>
          <w:rFonts w:ascii="Times New Roman" w:hAnsi="Times New Roman" w:cs="Times New Roman"/>
          <w:sz w:val="24"/>
        </w:rPr>
        <w:t xml:space="preserve">direta </w:t>
      </w:r>
      <w:r w:rsidRPr="00452A9E">
        <w:rPr>
          <w:rFonts w:ascii="Times New Roman" w:hAnsi="Times New Roman" w:cs="Times New Roman"/>
          <w:sz w:val="24"/>
        </w:rPr>
        <w:t xml:space="preserve">de Nestor </w:t>
      </w:r>
      <w:r>
        <w:rPr>
          <w:rFonts w:ascii="Times New Roman" w:hAnsi="Times New Roman" w:cs="Times New Roman"/>
          <w:sz w:val="24"/>
        </w:rPr>
        <w:t xml:space="preserve">Kirchner no </w:t>
      </w:r>
      <w:r w:rsidRPr="00452A9E">
        <w:rPr>
          <w:rFonts w:ascii="Times New Roman" w:hAnsi="Times New Roman" w:cs="Times New Roman"/>
          <w:sz w:val="24"/>
        </w:rPr>
        <w:t xml:space="preserve">conjunto de movimentos para a </w:t>
      </w:r>
      <w:r>
        <w:rPr>
          <w:rFonts w:ascii="Times New Roman" w:hAnsi="Times New Roman" w:cs="Times New Roman"/>
          <w:sz w:val="24"/>
        </w:rPr>
        <w:t xml:space="preserve">escolha do potencial candidato. </w:t>
      </w:r>
      <w:r w:rsidRPr="00452A9E">
        <w:rPr>
          <w:rFonts w:ascii="Times New Roman" w:hAnsi="Times New Roman" w:cs="Times New Roman"/>
          <w:sz w:val="24"/>
        </w:rPr>
        <w:t>Nesse sentido, o movimento do então presidente, colocaria a PBA na rota da “nacionalização</w:t>
      </w:r>
      <w:r w:rsidR="00111DB0">
        <w:rPr>
          <w:rFonts w:ascii="Times New Roman" w:hAnsi="Times New Roman" w:cs="Times New Roman"/>
          <w:sz w:val="24"/>
        </w:rPr>
        <w:t>”</w:t>
      </w:r>
      <w:r w:rsidRPr="00111DB0">
        <w:rPr>
          <w:rStyle w:val="Refdenotaderodap"/>
          <w:rFonts w:ascii="Times New Roman" w:eastAsia="Calibri" w:hAnsi="Times New Roman"/>
        </w:rPr>
        <w:footnoteReference w:id="18"/>
      </w:r>
      <w:r w:rsidRPr="00111DB0">
        <w:rPr>
          <w:rFonts w:ascii="Times New Roman" w:hAnsi="Times New Roman" w:cs="Times New Roman"/>
          <w:sz w:val="24"/>
        </w:rPr>
        <w:t xml:space="preserve"> </w:t>
      </w:r>
      <w:r w:rsidRPr="00452A9E">
        <w:rPr>
          <w:rFonts w:ascii="Times New Roman" w:hAnsi="Times New Roman" w:cs="Times New Roman"/>
          <w:sz w:val="24"/>
        </w:rPr>
        <w:t>da sua dinâmica política”</w:t>
      </w:r>
      <w:r w:rsidR="00111DB0">
        <w:rPr>
          <w:rFonts w:ascii="Times New Roman" w:hAnsi="Times New Roman" w:cs="Times New Roman"/>
          <w:sz w:val="24"/>
        </w:rPr>
        <w:t xml:space="preserve"> e</w:t>
      </w:r>
      <w:r>
        <w:rPr>
          <w:rFonts w:ascii="Times New Roman" w:hAnsi="Times New Roman" w:cs="Times New Roman"/>
          <w:sz w:val="24"/>
        </w:rPr>
        <w:t xml:space="preserve"> </w:t>
      </w:r>
      <w:r w:rsidRPr="00452A9E">
        <w:rPr>
          <w:rFonts w:ascii="Times New Roman" w:hAnsi="Times New Roman" w:cs="Times New Roman"/>
          <w:sz w:val="24"/>
        </w:rPr>
        <w:t xml:space="preserve">seria responsável por </w:t>
      </w:r>
      <w:r w:rsidR="00111DB0">
        <w:rPr>
          <w:rFonts w:ascii="Times New Roman" w:hAnsi="Times New Roman" w:cs="Times New Roman"/>
          <w:sz w:val="24"/>
        </w:rPr>
        <w:t xml:space="preserve">reduzir de forma “inédita” a </w:t>
      </w:r>
      <w:r w:rsidRPr="00452A9E">
        <w:rPr>
          <w:rFonts w:ascii="Times New Roman" w:hAnsi="Times New Roman" w:cs="Times New Roman"/>
          <w:sz w:val="24"/>
        </w:rPr>
        <w:t>autonomia</w:t>
      </w:r>
      <w:r>
        <w:rPr>
          <w:rFonts w:ascii="Times New Roman" w:hAnsi="Times New Roman" w:cs="Times New Roman"/>
          <w:sz w:val="24"/>
        </w:rPr>
        <w:t xml:space="preserve"> da província </w:t>
      </w:r>
      <w:r w:rsidRPr="00124644">
        <w:rPr>
          <w:rFonts w:ascii="Times New Roman" w:hAnsi="Times New Roman" w:cs="Times New Roman"/>
          <w:sz w:val="24"/>
        </w:rPr>
        <w:t xml:space="preserve">(Rodriguez, 2009; Lanzini, Erbiti, 2012; </w:t>
      </w:r>
      <w:r w:rsidRPr="00124644">
        <w:rPr>
          <w:rFonts w:ascii="Times New Roman" w:hAnsi="Times New Roman" w:cs="Times New Roman"/>
          <w:sz w:val="24"/>
          <w:szCs w:val="18"/>
          <w:shd w:val="clear" w:color="auto" w:fill="FFFFFF"/>
        </w:rPr>
        <w:t>Ollier, 2007</w:t>
      </w:r>
      <w:r>
        <w:rPr>
          <w:rFonts w:ascii="Times New Roman" w:hAnsi="Times New Roman" w:cs="Times New Roman"/>
          <w:color w:val="212121"/>
          <w:sz w:val="24"/>
        </w:rPr>
        <w:t>)</w:t>
      </w:r>
      <w:r w:rsidRPr="00452A9E">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Para Ollier (2007), </w:t>
      </w:r>
      <w:r>
        <w:rPr>
          <w:rFonts w:ascii="Times New Roman" w:hAnsi="Times New Roman" w:cs="Times New Roman"/>
          <w:sz w:val="24"/>
        </w:rPr>
        <w:lastRenderedPageBreak/>
        <w:t>“l</w:t>
      </w:r>
      <w:r w:rsidRPr="00124644">
        <w:rPr>
          <w:rFonts w:ascii="Times New Roman" w:hAnsi="Times New Roman" w:cs="Times New Roman"/>
          <w:sz w:val="24"/>
        </w:rPr>
        <w:t>a designación de</w:t>
      </w:r>
      <w:r>
        <w:rPr>
          <w:rFonts w:ascii="Times New Roman" w:hAnsi="Times New Roman" w:cs="Times New Roman"/>
          <w:sz w:val="24"/>
        </w:rPr>
        <w:t xml:space="preserve"> </w:t>
      </w:r>
      <w:r w:rsidRPr="00124644">
        <w:rPr>
          <w:rFonts w:ascii="Times New Roman" w:hAnsi="Times New Roman" w:cs="Times New Roman"/>
          <w:sz w:val="24"/>
        </w:rPr>
        <w:t>Daniel Scioli (otra vez un vicepresidente sería el postulante a gobernador</w:t>
      </w:r>
      <w:r>
        <w:rPr>
          <w:rFonts w:ascii="Times New Roman" w:hAnsi="Times New Roman" w:cs="Times New Roman"/>
          <w:sz w:val="24"/>
        </w:rPr>
        <w:t xml:space="preserve"> </w:t>
      </w:r>
      <w:r w:rsidRPr="00124644">
        <w:rPr>
          <w:rFonts w:ascii="Times New Roman" w:hAnsi="Times New Roman" w:cs="Times New Roman"/>
          <w:sz w:val="24"/>
        </w:rPr>
        <w:t>del PJB) o de cualquier otro para el 2007 da cuenta del requisito que debe</w:t>
      </w:r>
      <w:r>
        <w:rPr>
          <w:rFonts w:ascii="Times New Roman" w:hAnsi="Times New Roman" w:cs="Times New Roman"/>
          <w:sz w:val="24"/>
        </w:rPr>
        <w:t xml:space="preserve"> </w:t>
      </w:r>
      <w:r w:rsidRPr="00124644">
        <w:rPr>
          <w:rFonts w:ascii="Times New Roman" w:hAnsi="Times New Roman" w:cs="Times New Roman"/>
          <w:sz w:val="24"/>
        </w:rPr>
        <w:t>cumplir el aspirante: ser “el” elegido por la voluntad presidencial (impacto</w:t>
      </w:r>
      <w:r>
        <w:rPr>
          <w:rFonts w:ascii="Times New Roman" w:hAnsi="Times New Roman" w:cs="Times New Roman"/>
          <w:sz w:val="24"/>
        </w:rPr>
        <w:t xml:space="preserve"> </w:t>
      </w:r>
      <w:r w:rsidRPr="00124644">
        <w:rPr>
          <w:rFonts w:ascii="Times New Roman" w:hAnsi="Times New Roman" w:cs="Times New Roman"/>
          <w:sz w:val="24"/>
        </w:rPr>
        <w:t>nacionalizador)</w:t>
      </w:r>
      <w:r>
        <w:rPr>
          <w:rFonts w:ascii="Times New Roman" w:hAnsi="Times New Roman" w:cs="Times New Roman"/>
          <w:sz w:val="24"/>
        </w:rPr>
        <w:t>”</w:t>
      </w:r>
      <w:r w:rsidRPr="00124644">
        <w:rPr>
          <w:rFonts w:ascii="Times New Roman" w:hAnsi="Times New Roman" w:cs="Times New Roman"/>
          <w:sz w:val="24"/>
        </w:rPr>
        <w:t>.</w:t>
      </w:r>
      <w:r>
        <w:rPr>
          <w:rFonts w:ascii="Times New Roman" w:hAnsi="Times New Roman" w:cs="Times New Roman"/>
          <w:sz w:val="24"/>
        </w:rPr>
        <w:t xml:space="preserve"> </w:t>
      </w:r>
      <w:r w:rsidRPr="00452A9E">
        <w:rPr>
          <w:rFonts w:ascii="Times New Roman" w:hAnsi="Times New Roman" w:cs="Times New Roman"/>
          <w:sz w:val="24"/>
        </w:rPr>
        <w:t xml:space="preserve">Nesse cenário, </w:t>
      </w:r>
      <w:r>
        <w:rPr>
          <w:rFonts w:ascii="Times New Roman" w:hAnsi="Times New Roman" w:cs="Times New Roman"/>
          <w:sz w:val="24"/>
        </w:rPr>
        <w:t xml:space="preserve">Rodriguez (2009) </w:t>
      </w:r>
      <w:r w:rsidRPr="00452A9E">
        <w:rPr>
          <w:rFonts w:ascii="Times New Roman" w:hAnsi="Times New Roman" w:cs="Times New Roman"/>
          <w:sz w:val="24"/>
        </w:rPr>
        <w:t xml:space="preserve">aponta que se dá um </w:t>
      </w:r>
      <w:r w:rsidRPr="00452A9E">
        <w:rPr>
          <w:rFonts w:ascii="Times New Roman" w:hAnsi="Times New Roman" w:cs="Times New Roman"/>
          <w:sz w:val="24"/>
          <w:szCs w:val="24"/>
        </w:rPr>
        <w:t xml:space="preserve">“inesperado desembarco de Scioli” o então Vice - Presidente na província </w:t>
      </w:r>
      <w:r w:rsidRPr="00452A9E">
        <w:rPr>
          <w:rFonts w:ascii="Times New Roman" w:hAnsi="Times New Roman" w:cs="Times New Roman"/>
          <w:sz w:val="24"/>
        </w:rPr>
        <w:t>(Rodriguez, 2009).</w:t>
      </w:r>
    </w:p>
    <w:p w:rsidR="009B2034"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t>Ademais, em favor de Scioli constavam as pesquisa de opinião</w:t>
      </w:r>
      <w:r>
        <w:rPr>
          <w:rStyle w:val="Refdenotaderodap"/>
          <w:rFonts w:eastAsia="Calibri"/>
        </w:rPr>
        <w:footnoteReference w:id="19"/>
      </w:r>
      <w:r>
        <w:rPr>
          <w:rFonts w:ascii="Times New Roman" w:hAnsi="Times New Roman" w:cs="Times New Roman"/>
          <w:sz w:val="24"/>
        </w:rPr>
        <w:t xml:space="preserve"> que indicavam sua vantagem em todos os cenários traçados para a corrida eleitoral ao governo da PBA. Para Rodriguez (2009), a relativa vantagem do candidato não seria o único determinante de seu favoritismo. A análise do autor dá conta de que, no calcúlo do presidente Néstor Kirchner, entre os elegíveis, a potencial margem de ação que poderia ter frente a uma vitória de Scioli o colocava em situação confortável em sua inclinação ao apoio a candidatura do ex - esportista. Assim, “</w:t>
      </w:r>
      <w:r w:rsidRPr="000B5C06">
        <w:rPr>
          <w:rFonts w:ascii="Times New Roman" w:hAnsi="Times New Roman" w:cs="Times New Roman"/>
          <w:sz w:val="24"/>
        </w:rPr>
        <w:t>Scioli aparecía entonces como más sumiso en comparación con otros precandidatos y, de este modo, como una figura más func</w:t>
      </w:r>
      <w:r>
        <w:rPr>
          <w:rFonts w:ascii="Times New Roman" w:hAnsi="Times New Roman" w:cs="Times New Roman"/>
          <w:sz w:val="24"/>
        </w:rPr>
        <w:t xml:space="preserve">ional al proyecto del gobierno” (Rodriguez, 2009). </w:t>
      </w:r>
    </w:p>
    <w:p w:rsidR="009B2034" w:rsidRDefault="009B2034" w:rsidP="009B2034">
      <w:pPr>
        <w:pStyle w:val="Pr-formataoHTML"/>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t>Essa análise não significa passividade do candidato frente o presidente e sim, que em termos de projeto político, quer dizer que “</w:t>
      </w:r>
      <w:r w:rsidRPr="00492B2C">
        <w:rPr>
          <w:rFonts w:ascii="Times New Roman" w:hAnsi="Times New Roman" w:cs="Times New Roman"/>
          <w:sz w:val="24"/>
        </w:rPr>
        <w:t>Scioli era un absoluto ignoto en el territorio bonaerense, y al carecer entonces de una flota propia sobre la base (...) se le hacía mucho más dificultosa la construcción de un proyecto político autónomo</w:t>
      </w:r>
      <w:r>
        <w:rPr>
          <w:rFonts w:ascii="Times New Roman" w:hAnsi="Times New Roman" w:cs="Times New Roman"/>
          <w:sz w:val="24"/>
        </w:rPr>
        <w:t>” (Rodriguez, 2009). A escolha da candidatura na PBA evidenciaria um movimento de disputa no interior do Partido Justicialista que, ao terminar, apontaria a emergência da liderança e importancia da figura do presidente Néstor na conformação de um bloco kirchnerista (Rodriguez, 2009).</w:t>
      </w:r>
    </w:p>
    <w:tbl>
      <w:tblPr>
        <w:tblW w:w="5742" w:type="dxa"/>
        <w:jc w:val="center"/>
        <w:tblInd w:w="53" w:type="dxa"/>
        <w:tblCellMar>
          <w:left w:w="70" w:type="dxa"/>
          <w:right w:w="70" w:type="dxa"/>
        </w:tblCellMar>
        <w:tblLook w:val="04A0"/>
      </w:tblPr>
      <w:tblGrid>
        <w:gridCol w:w="620"/>
        <w:gridCol w:w="1409"/>
        <w:gridCol w:w="2586"/>
        <w:gridCol w:w="1127"/>
      </w:tblGrid>
      <w:tr w:rsidR="007E30DB" w:rsidRPr="007E30DB" w:rsidTr="000837B6">
        <w:trPr>
          <w:trHeight w:val="300"/>
          <w:jc w:val="center"/>
        </w:trPr>
        <w:tc>
          <w:tcPr>
            <w:tcW w:w="5742" w:type="dxa"/>
            <w:gridSpan w:val="4"/>
            <w:tcBorders>
              <w:top w:val="nil"/>
              <w:left w:val="nil"/>
              <w:bottom w:val="single" w:sz="4" w:space="0" w:color="auto"/>
              <w:right w:val="nil"/>
            </w:tcBorders>
            <w:shd w:val="clear" w:color="auto" w:fill="auto"/>
            <w:noWrap/>
            <w:vAlign w:val="center"/>
            <w:hideMark/>
          </w:tcPr>
          <w:p w:rsidR="007E30DB" w:rsidRPr="007E30DB" w:rsidRDefault="007E30DB">
            <w:pPr>
              <w:jc w:val="center"/>
              <w:rPr>
                <w:b/>
                <w:bCs/>
                <w:color w:val="000000"/>
              </w:rPr>
            </w:pPr>
            <w:r>
              <w:tab/>
            </w:r>
            <w:r w:rsidRPr="007E30DB">
              <w:rPr>
                <w:b/>
                <w:bCs/>
                <w:color w:val="000000"/>
                <w:szCs w:val="22"/>
              </w:rPr>
              <w:t>Quadro resumo 1: Trajetória - Daniel Scioli</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Ano</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Nro de cargo</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Cargo</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Nível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1995</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1</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Deputado Nacional</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Nacional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1999</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2</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Deputado Nacional</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Nacional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2003</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3</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Vice Presidente</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Nacional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2007</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4</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Governador</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Provincial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2011</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5</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Governador</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Provincial</w:t>
            </w:r>
          </w:p>
        </w:tc>
      </w:tr>
      <w:tr w:rsidR="007E30DB" w:rsidRPr="007E30DB" w:rsidTr="000837B6">
        <w:trPr>
          <w:trHeight w:val="300"/>
          <w:jc w:val="center"/>
        </w:trPr>
        <w:tc>
          <w:tcPr>
            <w:tcW w:w="620"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2015</w:t>
            </w:r>
          </w:p>
        </w:tc>
        <w:tc>
          <w:tcPr>
            <w:tcW w:w="1409"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6</w:t>
            </w:r>
          </w:p>
        </w:tc>
        <w:tc>
          <w:tcPr>
            <w:tcW w:w="2586"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Candidato a Presidência</w:t>
            </w:r>
          </w:p>
        </w:tc>
        <w:tc>
          <w:tcPr>
            <w:tcW w:w="1127" w:type="dxa"/>
            <w:tcBorders>
              <w:top w:val="nil"/>
              <w:left w:val="nil"/>
              <w:bottom w:val="nil"/>
              <w:right w:val="nil"/>
            </w:tcBorders>
            <w:shd w:val="clear" w:color="auto" w:fill="auto"/>
            <w:noWrap/>
            <w:vAlign w:val="center"/>
            <w:hideMark/>
          </w:tcPr>
          <w:p w:rsidR="007E30DB" w:rsidRPr="007E30DB" w:rsidRDefault="007E30DB">
            <w:pPr>
              <w:jc w:val="center"/>
              <w:rPr>
                <w:color w:val="000000"/>
              </w:rPr>
            </w:pPr>
            <w:r w:rsidRPr="007E30DB">
              <w:rPr>
                <w:color w:val="000000"/>
                <w:szCs w:val="22"/>
              </w:rPr>
              <w:t>Nacional</w:t>
            </w:r>
          </w:p>
        </w:tc>
      </w:tr>
    </w:tbl>
    <w:p w:rsidR="00701766" w:rsidRPr="007E30DB" w:rsidRDefault="007E30DB" w:rsidP="007E30DB">
      <w:pPr>
        <w:spacing w:line="360" w:lineRule="auto"/>
        <w:jc w:val="center"/>
        <w:rPr>
          <w:color w:val="000000"/>
          <w:sz w:val="20"/>
          <w:szCs w:val="20"/>
        </w:rPr>
      </w:pPr>
      <w:r w:rsidRPr="007E30DB">
        <w:rPr>
          <w:color w:val="000000"/>
          <w:sz w:val="20"/>
          <w:szCs w:val="20"/>
        </w:rPr>
        <w:t xml:space="preserve">Elaboração própria. Fonte: </w:t>
      </w:r>
      <w:r w:rsidRPr="007E30DB">
        <w:rPr>
          <w:sz w:val="20"/>
          <w:szCs w:val="20"/>
        </w:rPr>
        <w:t>Campomar e Delneri (2012)</w:t>
      </w:r>
    </w:p>
    <w:p w:rsidR="0082763E" w:rsidRDefault="000E6BE3" w:rsidP="00701766">
      <w:pPr>
        <w:spacing w:line="360" w:lineRule="auto"/>
        <w:ind w:firstLine="708"/>
        <w:jc w:val="both"/>
        <w:rPr>
          <w:color w:val="000000"/>
        </w:rPr>
      </w:pPr>
      <w:r>
        <w:rPr>
          <w:color w:val="000000"/>
        </w:rPr>
        <w:t xml:space="preserve">Os dados apontam que a trajetória de Daniel </w:t>
      </w:r>
      <w:r w:rsidR="007E30DB">
        <w:rPr>
          <w:color w:val="000000"/>
        </w:rPr>
        <w:t xml:space="preserve">Scioli </w:t>
      </w:r>
      <w:r>
        <w:rPr>
          <w:color w:val="000000"/>
        </w:rPr>
        <w:t xml:space="preserve">não se dá de forma linear. </w:t>
      </w:r>
      <w:r w:rsidR="009A060E">
        <w:rPr>
          <w:color w:val="000000"/>
        </w:rPr>
        <w:t>Os resultados apontam que a candidatura a</w:t>
      </w:r>
      <w:r>
        <w:rPr>
          <w:color w:val="000000"/>
        </w:rPr>
        <w:t xml:space="preserve"> presidência </w:t>
      </w:r>
      <w:r w:rsidR="009A060E">
        <w:rPr>
          <w:color w:val="000000"/>
        </w:rPr>
        <w:t xml:space="preserve">da república </w:t>
      </w:r>
      <w:r>
        <w:rPr>
          <w:color w:val="000000"/>
        </w:rPr>
        <w:t xml:space="preserve">em 2015 </w:t>
      </w:r>
      <w:r w:rsidR="009A060E">
        <w:rPr>
          <w:color w:val="000000"/>
        </w:rPr>
        <w:t xml:space="preserve">seria </w:t>
      </w:r>
      <w:r w:rsidR="009A060E">
        <w:rPr>
          <w:color w:val="000000"/>
        </w:rPr>
        <w:lastRenderedPageBreak/>
        <w:t>precedida</w:t>
      </w:r>
      <w:r>
        <w:rPr>
          <w:color w:val="000000"/>
        </w:rPr>
        <w:t xml:space="preserve">, </w:t>
      </w:r>
      <w:r w:rsidR="009A060E">
        <w:rPr>
          <w:color w:val="000000"/>
        </w:rPr>
        <w:t>pela ocupação de cargos n</w:t>
      </w:r>
      <w:r w:rsidR="007E30DB">
        <w:rPr>
          <w:color w:val="000000"/>
        </w:rPr>
        <w:t xml:space="preserve">os níveis nacionais antes do provincial </w:t>
      </w:r>
      <w:r>
        <w:rPr>
          <w:color w:val="000000"/>
        </w:rPr>
        <w:t>pa</w:t>
      </w:r>
      <w:r w:rsidR="007E30DB">
        <w:rPr>
          <w:color w:val="000000"/>
        </w:rPr>
        <w:t xml:space="preserve">ra em seguida voltar a concorrer em nível nacional. </w:t>
      </w:r>
    </w:p>
    <w:p w:rsidR="00586A3E" w:rsidRDefault="00586A3E" w:rsidP="00701766">
      <w:pPr>
        <w:jc w:val="both"/>
        <w:rPr>
          <w:b/>
        </w:rPr>
      </w:pPr>
    </w:p>
    <w:p w:rsidR="00701766" w:rsidRPr="0086015B" w:rsidRDefault="00A825B9" w:rsidP="00701766">
      <w:pPr>
        <w:jc w:val="both"/>
        <w:rPr>
          <w:b/>
        </w:rPr>
      </w:pPr>
      <w:r>
        <w:rPr>
          <w:b/>
        </w:rPr>
        <w:t xml:space="preserve">3.1.3 </w:t>
      </w:r>
      <w:r w:rsidR="00097DEC">
        <w:rPr>
          <w:b/>
        </w:rPr>
        <w:t>Capacidade de Cooperação</w:t>
      </w:r>
    </w:p>
    <w:p w:rsidR="00701766" w:rsidRDefault="00701766" w:rsidP="00701766">
      <w:pPr>
        <w:ind w:left="1416"/>
        <w:jc w:val="both"/>
      </w:pPr>
    </w:p>
    <w:p w:rsidR="00EB0FC5" w:rsidRPr="005F35BA" w:rsidRDefault="001D650C" w:rsidP="00EB0FC5">
      <w:pPr>
        <w:pStyle w:val="PargrafodaLista"/>
        <w:numPr>
          <w:ilvl w:val="0"/>
          <w:numId w:val="31"/>
        </w:numPr>
        <w:jc w:val="both"/>
        <w:rPr>
          <w:rFonts w:ascii="Times New Roman" w:hAnsi="Times New Roman"/>
          <w:b/>
          <w:sz w:val="24"/>
        </w:rPr>
      </w:pPr>
      <w:r w:rsidRPr="00A210CB">
        <w:rPr>
          <w:rFonts w:ascii="Times New Roman" w:hAnsi="Times New Roman"/>
          <w:b/>
          <w:color w:val="000000"/>
          <w:sz w:val="24"/>
        </w:rPr>
        <w:t>Partido do Governador é o mesmo do Presidente</w:t>
      </w:r>
      <w:r w:rsidR="00EB0FC5">
        <w:rPr>
          <w:rFonts w:ascii="Times New Roman" w:hAnsi="Times New Roman"/>
          <w:b/>
          <w:color w:val="000000"/>
          <w:sz w:val="24"/>
        </w:rPr>
        <w:t xml:space="preserve"> / </w:t>
      </w:r>
      <w:r w:rsidR="00EB0FC5" w:rsidRPr="006E19C4">
        <w:rPr>
          <w:rFonts w:ascii="Times New Roman" w:hAnsi="Times New Roman"/>
          <w:b/>
          <w:color w:val="000000"/>
          <w:sz w:val="24"/>
        </w:rPr>
        <w:t>faz parte da coligação de governo nacional</w:t>
      </w:r>
    </w:p>
    <w:p w:rsidR="001D650C" w:rsidRDefault="001D650C" w:rsidP="00EC562C">
      <w:pPr>
        <w:pStyle w:val="PargrafodaLista"/>
        <w:spacing w:after="0"/>
        <w:jc w:val="both"/>
        <w:rPr>
          <w:rFonts w:ascii="Times New Roman" w:hAnsi="Times New Roman"/>
          <w:b/>
          <w:sz w:val="24"/>
        </w:rPr>
      </w:pPr>
    </w:p>
    <w:p w:rsidR="009A3F67" w:rsidRDefault="008A5EFA" w:rsidP="00E40026">
      <w:pPr>
        <w:spacing w:line="360" w:lineRule="auto"/>
        <w:ind w:firstLine="708"/>
        <w:jc w:val="both"/>
        <w:rPr>
          <w:lang w:val="es-ES"/>
        </w:rPr>
      </w:pPr>
      <w:r>
        <w:rPr>
          <w:lang w:val="es-ES"/>
        </w:rPr>
        <w:t xml:space="preserve">Leiras (2013) argumenta que as interpretações acerca do funcionamento do federalismo argentino tem apontado para dois elementos fundamentais: o primeiro diz respeito ao fato da descentralização política e administrativa no país tem como característica a concentração geográfica dos recursos produtivos gerando consequentemente desigualdades inter-provinciais. </w:t>
      </w:r>
    </w:p>
    <w:p w:rsidR="00E40026" w:rsidRDefault="008A5EFA" w:rsidP="00E40026">
      <w:pPr>
        <w:spacing w:line="360" w:lineRule="auto"/>
        <w:ind w:firstLine="708"/>
        <w:jc w:val="both"/>
        <w:rPr>
          <w:lang w:val="es-ES"/>
        </w:rPr>
      </w:pPr>
      <w:r>
        <w:rPr>
          <w:lang w:val="es-ES"/>
        </w:rPr>
        <w:t>O segundo pon</w:t>
      </w:r>
      <w:r w:rsidR="00EC562C">
        <w:rPr>
          <w:lang w:val="es-ES"/>
        </w:rPr>
        <w:t>t</w:t>
      </w:r>
      <w:r>
        <w:rPr>
          <w:lang w:val="es-ES"/>
        </w:rPr>
        <w:t xml:space="preserve">o esta relacionado a debilidade fiscal dado a dependencia, do ponto de vista finaceiro, desses autores gerando um desbalanço frente a uma forte e ampla autonomia política. </w:t>
      </w:r>
      <w:r w:rsidR="00EC562C">
        <w:rPr>
          <w:lang w:val="es-ES"/>
        </w:rPr>
        <w:t xml:space="preserve">Para o autor, a </w:t>
      </w:r>
      <w:r w:rsidR="00E40026">
        <w:rPr>
          <w:lang w:val="es-ES"/>
        </w:rPr>
        <w:t>conj</w:t>
      </w:r>
      <w:r w:rsidR="00EC562C">
        <w:rPr>
          <w:lang w:val="es-ES"/>
        </w:rPr>
        <w:t xml:space="preserve">unção de “concentração de recursos com descentralização de poder” impacta os incentivos e comportamentos dos dois níveis de governo (central e provincial) no que diz respeito a provisão de políticas públicas. </w:t>
      </w:r>
      <w:r w:rsidR="00E40026">
        <w:rPr>
          <w:lang w:val="es-ES"/>
        </w:rPr>
        <w:t xml:space="preserve">Nesse sentido, Leiras (2013) indica que a volatilidade das políticas públicas são resultado dessa característica do sistema federal do país que impacta nas dimensões de coordenação e cooperação federativa. O estudo do autor reconhece que a provisão de políticas desde 1983 segue uma dinâmica geral: </w:t>
      </w:r>
    </w:p>
    <w:p w:rsidR="001200B1" w:rsidRPr="00DC1425" w:rsidRDefault="001200B1" w:rsidP="00E40026">
      <w:pPr>
        <w:ind w:left="2268"/>
        <w:jc w:val="both"/>
        <w:rPr>
          <w:sz w:val="20"/>
          <w:szCs w:val="20"/>
          <w:lang w:val="es-ES"/>
        </w:rPr>
      </w:pPr>
      <w:r w:rsidRPr="00DC1425">
        <w:rPr>
          <w:sz w:val="20"/>
          <w:szCs w:val="20"/>
          <w:lang w:val="es-ES"/>
        </w:rPr>
        <w:t xml:space="preserve"> las políticas públicas en la escala nacional se apoyan </w:t>
      </w:r>
      <w:r w:rsidRPr="00DC1425">
        <w:rPr>
          <w:i/>
          <w:sz w:val="20"/>
          <w:szCs w:val="20"/>
          <w:lang w:val="es-ES"/>
        </w:rPr>
        <w:t>en coaliciones interprovinciales</w:t>
      </w:r>
      <w:r w:rsidRPr="00DC1425">
        <w:rPr>
          <w:sz w:val="20"/>
          <w:szCs w:val="20"/>
          <w:lang w:val="es-ES"/>
        </w:rPr>
        <w:t xml:space="preserve"> que los presidentes construyen </w:t>
      </w:r>
      <w:r w:rsidRPr="00DC1425">
        <w:rPr>
          <w:i/>
          <w:sz w:val="20"/>
          <w:szCs w:val="20"/>
          <w:lang w:val="es-ES"/>
        </w:rPr>
        <w:t>transfiriendo a los líderes provinciales recursos financieros</w:t>
      </w:r>
      <w:r w:rsidRPr="00DC1425">
        <w:rPr>
          <w:sz w:val="20"/>
          <w:szCs w:val="20"/>
          <w:lang w:val="es-ES"/>
        </w:rPr>
        <w:t xml:space="preserve"> a </w:t>
      </w:r>
      <w:r w:rsidRPr="00DC1425">
        <w:rPr>
          <w:i/>
          <w:sz w:val="20"/>
          <w:szCs w:val="20"/>
          <w:lang w:val="es-ES"/>
        </w:rPr>
        <w:t>cambio de respaldo electoral</w:t>
      </w:r>
      <w:r w:rsidRPr="00DC1425">
        <w:rPr>
          <w:sz w:val="20"/>
          <w:szCs w:val="20"/>
          <w:lang w:val="es-ES"/>
        </w:rPr>
        <w:t xml:space="preserve"> y </w:t>
      </w:r>
      <w:r w:rsidRPr="00DC1425">
        <w:rPr>
          <w:i/>
          <w:sz w:val="20"/>
          <w:szCs w:val="20"/>
          <w:lang w:val="es-ES"/>
        </w:rPr>
        <w:t>legislativo</w:t>
      </w:r>
      <w:r w:rsidRPr="00DC1425">
        <w:rPr>
          <w:sz w:val="20"/>
          <w:szCs w:val="20"/>
          <w:lang w:val="es-ES"/>
        </w:rPr>
        <w:t xml:space="preserve">. Esta lógica de </w:t>
      </w:r>
      <w:r w:rsidRPr="00DC1425">
        <w:rPr>
          <w:i/>
          <w:sz w:val="20"/>
          <w:szCs w:val="20"/>
          <w:lang w:val="es-ES"/>
        </w:rPr>
        <w:t>construcción de coaliciones</w:t>
      </w:r>
      <w:r w:rsidRPr="00DC1425">
        <w:rPr>
          <w:sz w:val="20"/>
          <w:szCs w:val="20"/>
          <w:lang w:val="es-ES"/>
        </w:rPr>
        <w:t xml:space="preserve"> es a la vez una consecuencia y un factor de refuerzo tanto del carácter descentralizado del federalismo argentino como de la desigualdad interprovincial</w:t>
      </w:r>
      <w:r w:rsidR="00DC1425" w:rsidRPr="00DC1425">
        <w:rPr>
          <w:sz w:val="20"/>
          <w:szCs w:val="20"/>
          <w:lang w:val="es-ES"/>
        </w:rPr>
        <w:t xml:space="preserve"> (LEIRAS, 2013.Grifo nosso).</w:t>
      </w:r>
    </w:p>
    <w:p w:rsidR="00CE6FE2" w:rsidRDefault="00CE6FE2" w:rsidP="00EC562C">
      <w:pPr>
        <w:jc w:val="both"/>
        <w:rPr>
          <w:rFonts w:ascii="Arial" w:hAnsi="Arial" w:cs="Arial"/>
          <w:color w:val="222222"/>
          <w:sz w:val="20"/>
          <w:szCs w:val="20"/>
          <w:shd w:val="clear" w:color="auto" w:fill="FFFFFF"/>
          <w:lang w:val="es-ES"/>
        </w:rPr>
      </w:pPr>
    </w:p>
    <w:p w:rsidR="00CE6FE2" w:rsidRPr="00374B30" w:rsidRDefault="00CE6FE2" w:rsidP="001E412F">
      <w:pPr>
        <w:spacing w:line="360" w:lineRule="auto"/>
        <w:ind w:firstLine="708"/>
        <w:jc w:val="both"/>
        <w:rPr>
          <w:lang w:val="es-ES"/>
        </w:rPr>
      </w:pPr>
      <w:r w:rsidRPr="00374B30">
        <w:rPr>
          <w:color w:val="000000"/>
        </w:rPr>
        <w:t xml:space="preserve">Para a classificação dos partidos da coalizão governativa adotamos o trabalho de Ribeiro e Urdinez (2017) que consideram todos os legisladores do Partido Justicialista “oficialistas” no caso do governo de Néstor Kirchner. Ademais, para os primeiro governo de Cristina Fernadez a diciplina partidária se mantem sendo a classificados dos partidos “oficialistas” igual ao período anterior. </w:t>
      </w:r>
      <w:r w:rsidR="00374B30">
        <w:rPr>
          <w:color w:val="000000"/>
        </w:rPr>
        <w:t xml:space="preserve">Já no segundo mandato iniciam as divergências entre legisladores do PJ e o governo gerando o que os pesquisadores nomeiam como peronistas </w:t>
      </w:r>
      <w:r w:rsidR="00374B30" w:rsidRPr="00374B30">
        <w:rPr>
          <w:i/>
          <w:color w:val="000000"/>
        </w:rPr>
        <w:t>“alineados e disidentes”</w:t>
      </w:r>
      <w:r w:rsidR="00374B30">
        <w:rPr>
          <w:i/>
          <w:color w:val="000000"/>
        </w:rPr>
        <w:t xml:space="preserve"> </w:t>
      </w:r>
      <w:r w:rsidR="00374B30">
        <w:rPr>
          <w:color w:val="000000"/>
        </w:rPr>
        <w:t xml:space="preserve">com destaque pata Juan Manuel </w:t>
      </w:r>
      <w:r w:rsidR="001E412F">
        <w:rPr>
          <w:color w:val="000000"/>
        </w:rPr>
        <w:t xml:space="preserve">de la Sota (Córdoba), Adolfo Rodriguz Saá (San Luis) e Sergio Massa (Buenos Aires). Abaixo apresentamos quadros – resumos com os dados sobre os governadores frente a </w:t>
      </w:r>
      <w:r w:rsidR="001E412F">
        <w:rPr>
          <w:color w:val="000000"/>
        </w:rPr>
        <w:lastRenderedPageBreak/>
        <w:t>sua indentificação partidária e seu potencial de coordenação se observado a coalização de governo frente a capacidade de coordenação federativa.</w:t>
      </w:r>
    </w:p>
    <w:p w:rsidR="002552BA" w:rsidRDefault="002552BA" w:rsidP="00DC1425">
      <w:pPr>
        <w:autoSpaceDE w:val="0"/>
        <w:autoSpaceDN w:val="0"/>
        <w:adjustRightInd w:val="0"/>
        <w:rPr>
          <w:rFonts w:ascii="Arial" w:hAnsi="Arial" w:cs="Arial"/>
          <w:color w:val="000000"/>
          <w:sz w:val="20"/>
          <w:szCs w:val="20"/>
        </w:rPr>
      </w:pPr>
    </w:p>
    <w:p w:rsidR="005F35BA" w:rsidRPr="005F35BA" w:rsidRDefault="005F35BA" w:rsidP="005F35BA">
      <w:pPr>
        <w:jc w:val="center"/>
        <w:rPr>
          <w:b/>
        </w:rPr>
      </w:pPr>
      <w:r>
        <w:rPr>
          <w:b/>
        </w:rPr>
        <w:t>Tabela. Quadro – Resumo Capacidade de Coordenação</w:t>
      </w:r>
      <w:r w:rsidR="00ED16B6">
        <w:rPr>
          <w:b/>
        </w:rPr>
        <w:t xml:space="preserve"> (2007 –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03"/>
        <w:gridCol w:w="2032"/>
        <w:gridCol w:w="802"/>
        <w:gridCol w:w="1708"/>
        <w:gridCol w:w="999"/>
      </w:tblGrid>
      <w:tr w:rsidR="005F35BA" w:rsidTr="009A060E">
        <w:trPr>
          <w:trHeight w:val="300"/>
        </w:trPr>
        <w:tc>
          <w:tcPr>
            <w:tcW w:w="1795" w:type="pct"/>
            <w:vMerge w:val="restart"/>
            <w:shd w:val="clear" w:color="auto" w:fill="auto"/>
            <w:noWrap/>
            <w:vAlign w:val="center"/>
            <w:hideMark/>
          </w:tcPr>
          <w:p w:rsidR="005F35BA" w:rsidRPr="000F4A57" w:rsidRDefault="005F35BA" w:rsidP="009A060E">
            <w:pPr>
              <w:jc w:val="center"/>
              <w:rPr>
                <w:b/>
                <w:bCs/>
                <w:color w:val="000000"/>
                <w:sz w:val="20"/>
                <w:szCs w:val="20"/>
              </w:rPr>
            </w:pPr>
            <w:r w:rsidRPr="000F4A57">
              <w:rPr>
                <w:b/>
                <w:bCs/>
                <w:color w:val="000000"/>
                <w:sz w:val="20"/>
                <w:szCs w:val="20"/>
              </w:rPr>
              <w:t>Província / Estado</w:t>
            </w:r>
          </w:p>
        </w:tc>
        <w:tc>
          <w:tcPr>
            <w:tcW w:w="1639" w:type="pct"/>
            <w:gridSpan w:val="2"/>
            <w:shd w:val="clear" w:color="auto" w:fill="auto"/>
            <w:vAlign w:val="center"/>
            <w:hideMark/>
          </w:tcPr>
          <w:p w:rsidR="005F35BA" w:rsidRPr="000F4A57" w:rsidRDefault="005F35BA" w:rsidP="009A060E">
            <w:pPr>
              <w:jc w:val="center"/>
              <w:rPr>
                <w:b/>
                <w:bCs/>
                <w:color w:val="000000"/>
                <w:sz w:val="20"/>
                <w:szCs w:val="20"/>
              </w:rPr>
            </w:pPr>
            <w:r w:rsidRPr="000F4A57">
              <w:rPr>
                <w:b/>
                <w:bCs/>
                <w:color w:val="000000"/>
                <w:sz w:val="20"/>
                <w:szCs w:val="20"/>
              </w:rPr>
              <w:t>2007-2011</w:t>
            </w:r>
          </w:p>
        </w:tc>
        <w:tc>
          <w:tcPr>
            <w:tcW w:w="988" w:type="pct"/>
            <w:vMerge w:val="restart"/>
            <w:shd w:val="clear" w:color="auto" w:fill="auto"/>
            <w:noWrap/>
            <w:vAlign w:val="center"/>
            <w:hideMark/>
          </w:tcPr>
          <w:p w:rsidR="005F35BA" w:rsidRPr="000F4A57" w:rsidRDefault="005F35BA" w:rsidP="009A060E">
            <w:pPr>
              <w:jc w:val="center"/>
              <w:rPr>
                <w:b/>
                <w:bCs/>
                <w:color w:val="000000"/>
                <w:sz w:val="20"/>
                <w:szCs w:val="20"/>
              </w:rPr>
            </w:pPr>
            <w:r w:rsidRPr="000F4A57">
              <w:rPr>
                <w:b/>
                <w:bCs/>
                <w:color w:val="000000"/>
                <w:sz w:val="20"/>
                <w:szCs w:val="20"/>
              </w:rPr>
              <w:t>Part</w:t>
            </w:r>
            <w:r>
              <w:rPr>
                <w:b/>
                <w:bCs/>
                <w:color w:val="000000"/>
                <w:sz w:val="20"/>
                <w:szCs w:val="20"/>
              </w:rPr>
              <w:t>i</w:t>
            </w:r>
            <w:r w:rsidRPr="000F4A57">
              <w:rPr>
                <w:b/>
                <w:bCs/>
                <w:color w:val="000000"/>
                <w:sz w:val="20"/>
                <w:szCs w:val="20"/>
              </w:rPr>
              <w:t>do do Presidente</w:t>
            </w:r>
          </w:p>
        </w:tc>
        <w:tc>
          <w:tcPr>
            <w:tcW w:w="578" w:type="pct"/>
            <w:vMerge w:val="restart"/>
            <w:shd w:val="clear" w:color="auto" w:fill="auto"/>
            <w:noWrap/>
            <w:vAlign w:val="center"/>
            <w:hideMark/>
          </w:tcPr>
          <w:p w:rsidR="005F35BA" w:rsidRPr="000F4A57" w:rsidRDefault="005F35BA" w:rsidP="009A060E">
            <w:pPr>
              <w:jc w:val="center"/>
              <w:rPr>
                <w:b/>
                <w:bCs/>
                <w:color w:val="000000"/>
                <w:sz w:val="20"/>
                <w:szCs w:val="20"/>
              </w:rPr>
            </w:pPr>
            <w:r w:rsidRPr="000F4A57">
              <w:rPr>
                <w:b/>
                <w:bCs/>
                <w:color w:val="000000"/>
                <w:sz w:val="20"/>
                <w:szCs w:val="20"/>
              </w:rPr>
              <w:t>Base Aliada</w:t>
            </w:r>
          </w:p>
        </w:tc>
      </w:tr>
      <w:tr w:rsidR="005F35BA" w:rsidTr="009A060E">
        <w:trPr>
          <w:trHeight w:val="300"/>
        </w:trPr>
        <w:tc>
          <w:tcPr>
            <w:tcW w:w="1795" w:type="pct"/>
            <w:vMerge/>
            <w:vAlign w:val="center"/>
            <w:hideMark/>
          </w:tcPr>
          <w:p w:rsidR="005F35BA" w:rsidRPr="000F4A57" w:rsidRDefault="005F35BA" w:rsidP="009A060E">
            <w:pPr>
              <w:jc w:val="center"/>
              <w:rPr>
                <w:b/>
                <w:bCs/>
                <w:color w:val="000000"/>
                <w:sz w:val="20"/>
                <w:szCs w:val="20"/>
              </w:rPr>
            </w:pPr>
          </w:p>
        </w:tc>
        <w:tc>
          <w:tcPr>
            <w:tcW w:w="1175" w:type="pct"/>
            <w:shd w:val="clear" w:color="auto" w:fill="auto"/>
            <w:noWrap/>
            <w:vAlign w:val="center"/>
            <w:hideMark/>
          </w:tcPr>
          <w:p w:rsidR="005F35BA" w:rsidRPr="000F4A57" w:rsidRDefault="005F35BA" w:rsidP="009A060E">
            <w:pPr>
              <w:jc w:val="center"/>
              <w:rPr>
                <w:b/>
                <w:bCs/>
                <w:color w:val="000000"/>
                <w:sz w:val="20"/>
                <w:szCs w:val="20"/>
              </w:rPr>
            </w:pPr>
            <w:r w:rsidRPr="000F4A57">
              <w:rPr>
                <w:b/>
                <w:bCs/>
                <w:color w:val="000000"/>
                <w:sz w:val="20"/>
                <w:szCs w:val="20"/>
              </w:rPr>
              <w:t>Governador</w:t>
            </w:r>
          </w:p>
        </w:tc>
        <w:tc>
          <w:tcPr>
            <w:tcW w:w="464" w:type="pct"/>
            <w:shd w:val="clear" w:color="auto" w:fill="auto"/>
            <w:noWrap/>
            <w:vAlign w:val="center"/>
            <w:hideMark/>
          </w:tcPr>
          <w:p w:rsidR="005F35BA" w:rsidRPr="000F4A57" w:rsidRDefault="005F35BA" w:rsidP="009A060E">
            <w:pPr>
              <w:jc w:val="center"/>
              <w:rPr>
                <w:b/>
                <w:bCs/>
                <w:color w:val="000000"/>
                <w:sz w:val="20"/>
                <w:szCs w:val="20"/>
              </w:rPr>
            </w:pPr>
            <w:r w:rsidRPr="000F4A57">
              <w:rPr>
                <w:b/>
                <w:bCs/>
                <w:color w:val="000000"/>
                <w:sz w:val="20"/>
                <w:szCs w:val="20"/>
              </w:rPr>
              <w:t>Partido</w:t>
            </w:r>
          </w:p>
        </w:tc>
        <w:tc>
          <w:tcPr>
            <w:tcW w:w="988" w:type="pct"/>
            <w:vMerge/>
            <w:vAlign w:val="center"/>
            <w:hideMark/>
          </w:tcPr>
          <w:p w:rsidR="005F35BA" w:rsidRPr="000F4A57" w:rsidRDefault="005F35BA" w:rsidP="009A060E">
            <w:pPr>
              <w:jc w:val="center"/>
              <w:rPr>
                <w:b/>
                <w:bCs/>
                <w:color w:val="000000"/>
                <w:sz w:val="20"/>
                <w:szCs w:val="20"/>
              </w:rPr>
            </w:pPr>
          </w:p>
        </w:tc>
        <w:tc>
          <w:tcPr>
            <w:tcW w:w="578" w:type="pct"/>
            <w:vMerge/>
            <w:vAlign w:val="center"/>
            <w:hideMark/>
          </w:tcPr>
          <w:p w:rsidR="005F35BA" w:rsidRPr="000F4A57" w:rsidRDefault="005F35BA" w:rsidP="009A060E">
            <w:pPr>
              <w:jc w:val="center"/>
              <w:rPr>
                <w:b/>
                <w:bCs/>
                <w:color w:val="000000"/>
                <w:sz w:val="20"/>
                <w:szCs w:val="20"/>
              </w:rPr>
            </w:pP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BUE: Buenos Aires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Daniel Scioli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CABA: Ciudad Autónoma de Buenos Aires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Mauricio Macri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PRO</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r>
      <w:tr w:rsidR="005F35BA" w:rsidTr="009A060E">
        <w:trPr>
          <w:trHeight w:val="669"/>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CAT: Catamarca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Eduardo Brizuela del Moral</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UCR</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CBA: Córdoba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José Manuel de la Sota</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CHA: Chaco</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Jorge Capitanich</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CHU: Chubut</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Martín Buzzi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COR: Corrientes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Ricado Colombi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UCR</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ERI: Entre Rios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Sergio Daniel Urribarri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FOR: Formosa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Gildo Insfran</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JUJ: Jujuy</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Eduardo Alfredo Fellner</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LAP: La Pampa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Oscar Mario Jorge</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LRJ: La Rioja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Luis Beder Herrera</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MIS: Misiones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Maurice Fabián Closs</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FR</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DC1425"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MZA: Mendoza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Celso Jaque</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NEU: Neuquén</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Jorge Augusto Sapag</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MPN</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DC1425"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RNO: Río Negro</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Miguel Saiz</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UCR</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r>
      <w:tr w:rsidR="005F35BA" w:rsidTr="009A060E">
        <w:trPr>
          <w:trHeight w:val="711"/>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SAL: Salta</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Juan Manuel Urtubey</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 + PRS</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SCR: Santa Cruz</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Daniel Román Peralta</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SFE: Santa Fe</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Antonio Bonfatti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OS</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DC1425"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SGO: Santiago del Estero</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Gerardo Zamora</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UCR</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SJU: San Juan</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José Luis Gioja</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SLU: San Luís</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Claudio Poggi</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r w:rsidR="005F35BA" w:rsidTr="009A060E">
        <w:trPr>
          <w:trHeight w:val="687"/>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TDF: Tierra del Fuego</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María Fabiana Ríos</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ARI/ PSP</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0</w:t>
            </w:r>
          </w:p>
        </w:tc>
        <w:tc>
          <w:tcPr>
            <w:tcW w:w="578" w:type="pct"/>
            <w:shd w:val="clear" w:color="auto" w:fill="auto"/>
            <w:noWrap/>
            <w:vAlign w:val="center"/>
            <w:hideMark/>
          </w:tcPr>
          <w:p w:rsidR="005F35BA" w:rsidRPr="000F4A57" w:rsidRDefault="00DC1425" w:rsidP="009A060E">
            <w:pPr>
              <w:jc w:val="center"/>
              <w:rPr>
                <w:color w:val="000000"/>
                <w:sz w:val="20"/>
                <w:szCs w:val="20"/>
              </w:rPr>
            </w:pPr>
            <w:r>
              <w:rPr>
                <w:color w:val="000000"/>
                <w:sz w:val="20"/>
                <w:szCs w:val="20"/>
              </w:rPr>
              <w:t>0</w:t>
            </w:r>
          </w:p>
        </w:tc>
      </w:tr>
      <w:tr w:rsidR="005F35BA" w:rsidTr="009A060E">
        <w:trPr>
          <w:trHeight w:val="315"/>
        </w:trPr>
        <w:tc>
          <w:tcPr>
            <w:tcW w:w="179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TUC: Tucumán</w:t>
            </w:r>
          </w:p>
        </w:tc>
        <w:tc>
          <w:tcPr>
            <w:tcW w:w="1175"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José Jorge Alperovich</w:t>
            </w:r>
          </w:p>
        </w:tc>
        <w:tc>
          <w:tcPr>
            <w:tcW w:w="464" w:type="pct"/>
            <w:shd w:val="clear" w:color="auto" w:fill="auto"/>
            <w:noWrap/>
            <w:vAlign w:val="center"/>
            <w:hideMark/>
          </w:tcPr>
          <w:p w:rsidR="005F35BA" w:rsidRPr="000F4A57" w:rsidRDefault="005F35BA" w:rsidP="009A060E">
            <w:pPr>
              <w:jc w:val="center"/>
              <w:rPr>
                <w:color w:val="000000"/>
                <w:sz w:val="20"/>
                <w:szCs w:val="20"/>
              </w:rPr>
            </w:pPr>
            <w:r w:rsidRPr="000F4A57">
              <w:rPr>
                <w:color w:val="000000"/>
                <w:sz w:val="20"/>
                <w:szCs w:val="20"/>
              </w:rPr>
              <w:t>PJ</w:t>
            </w:r>
          </w:p>
        </w:tc>
        <w:tc>
          <w:tcPr>
            <w:tcW w:w="98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c>
          <w:tcPr>
            <w:tcW w:w="578" w:type="pct"/>
            <w:shd w:val="clear" w:color="auto" w:fill="auto"/>
            <w:noWrap/>
            <w:vAlign w:val="center"/>
            <w:hideMark/>
          </w:tcPr>
          <w:p w:rsidR="005F35BA" w:rsidRPr="000F4A57" w:rsidRDefault="005F35BA" w:rsidP="009A060E">
            <w:pPr>
              <w:jc w:val="center"/>
              <w:rPr>
                <w:color w:val="000000"/>
                <w:sz w:val="20"/>
                <w:szCs w:val="20"/>
              </w:rPr>
            </w:pPr>
            <w:r>
              <w:rPr>
                <w:color w:val="000000"/>
                <w:sz w:val="20"/>
                <w:szCs w:val="20"/>
              </w:rPr>
              <w:t>1</w:t>
            </w:r>
          </w:p>
        </w:tc>
      </w:tr>
    </w:tbl>
    <w:p w:rsidR="00687F1A" w:rsidRPr="00631853" w:rsidRDefault="00687F1A" w:rsidP="00687F1A">
      <w:pPr>
        <w:autoSpaceDE w:val="0"/>
        <w:autoSpaceDN w:val="0"/>
        <w:adjustRightInd w:val="0"/>
        <w:spacing w:line="360" w:lineRule="auto"/>
        <w:jc w:val="both"/>
        <w:rPr>
          <w:color w:val="000000"/>
          <w:sz w:val="20"/>
          <w:szCs w:val="20"/>
        </w:rPr>
      </w:pPr>
      <w:r w:rsidRPr="00631853">
        <w:rPr>
          <w:color w:val="000000"/>
          <w:sz w:val="20"/>
          <w:szCs w:val="20"/>
        </w:rPr>
        <w:t>Elaborado pelo autor. Fonte: http://www.primarias2011.gob.ar/paginas/paginas/dat02/DGO02999.htm</w:t>
      </w:r>
    </w:p>
    <w:p w:rsidR="00724463" w:rsidRDefault="00724463" w:rsidP="002F2AA9">
      <w:pPr>
        <w:autoSpaceDE w:val="0"/>
        <w:autoSpaceDN w:val="0"/>
        <w:adjustRightInd w:val="0"/>
        <w:rPr>
          <w:color w:val="000000"/>
          <w:sz w:val="20"/>
          <w:szCs w:val="20"/>
        </w:rPr>
      </w:pPr>
    </w:p>
    <w:p w:rsidR="002552BA" w:rsidRDefault="00746E43" w:rsidP="00423485">
      <w:pPr>
        <w:autoSpaceDE w:val="0"/>
        <w:autoSpaceDN w:val="0"/>
        <w:adjustRightInd w:val="0"/>
        <w:spacing w:line="360" w:lineRule="auto"/>
        <w:ind w:firstLine="708"/>
        <w:jc w:val="both"/>
        <w:rPr>
          <w:color w:val="000000"/>
        </w:rPr>
      </w:pPr>
      <w:r w:rsidRPr="009A3F67">
        <w:rPr>
          <w:color w:val="222222"/>
          <w:shd w:val="clear" w:color="auto" w:fill="FFFFFF"/>
        </w:rPr>
        <w:t xml:space="preserve">Catterberg </w:t>
      </w:r>
      <w:r>
        <w:rPr>
          <w:color w:val="222222"/>
          <w:shd w:val="clear" w:color="auto" w:fill="FFFFFF"/>
        </w:rPr>
        <w:t>e</w:t>
      </w:r>
      <w:r w:rsidRPr="009A3F67">
        <w:rPr>
          <w:color w:val="222222"/>
          <w:shd w:val="clear" w:color="auto" w:fill="FFFFFF"/>
        </w:rPr>
        <w:t xml:space="preserve"> Palanza</w:t>
      </w:r>
      <w:r w:rsidRPr="00E62ACC">
        <w:rPr>
          <w:color w:val="000000"/>
        </w:rPr>
        <w:t xml:space="preserve"> (201</w:t>
      </w:r>
      <w:r>
        <w:rPr>
          <w:color w:val="000000"/>
        </w:rPr>
        <w:t>2</w:t>
      </w:r>
      <w:r w:rsidRPr="00E62ACC">
        <w:rPr>
          <w:color w:val="000000"/>
        </w:rPr>
        <w:t>)</w:t>
      </w:r>
      <w:r>
        <w:rPr>
          <w:color w:val="000000"/>
        </w:rPr>
        <w:t xml:space="preserve"> a</w:t>
      </w:r>
      <w:r w:rsidR="00E62ACC" w:rsidRPr="00E62ACC">
        <w:rPr>
          <w:color w:val="000000"/>
        </w:rPr>
        <w:t>o observar</w:t>
      </w:r>
      <w:r>
        <w:rPr>
          <w:color w:val="000000"/>
        </w:rPr>
        <w:t>em</w:t>
      </w:r>
      <w:r w:rsidR="00E62ACC" w:rsidRPr="00E62ACC">
        <w:rPr>
          <w:color w:val="000000"/>
        </w:rPr>
        <w:t xml:space="preserve"> o apoio legislativo da Presidenta Cristina Kirchner</w:t>
      </w:r>
      <w:r w:rsidR="00423485">
        <w:rPr>
          <w:color w:val="000000"/>
        </w:rPr>
        <w:t xml:space="preserve"> </w:t>
      </w:r>
      <w:r>
        <w:rPr>
          <w:color w:val="000000"/>
        </w:rPr>
        <w:t xml:space="preserve">indicam que </w:t>
      </w:r>
      <w:r w:rsidR="00E62ACC" w:rsidRPr="00E62ACC">
        <w:rPr>
          <w:color w:val="000000"/>
        </w:rPr>
        <w:t xml:space="preserve">a relação com o Congresso torna-se conflitiva com as dificuldades que a Frente para a Vitória (FPV) enfrenta em ocupar cadeiras </w:t>
      </w:r>
      <w:r w:rsidR="00423485">
        <w:rPr>
          <w:color w:val="000000"/>
        </w:rPr>
        <w:t xml:space="preserve">nas duas câmaras com as eleições de 2009. Em adição, o descolamento político do Vice – Presidente (Julio Cobos) presidente do Senado </w:t>
      </w:r>
      <w:r>
        <w:rPr>
          <w:color w:val="000000"/>
        </w:rPr>
        <w:t>agravam a sintonia d</w:t>
      </w:r>
      <w:r w:rsidR="00423485">
        <w:rPr>
          <w:color w:val="000000"/>
        </w:rPr>
        <w:t xml:space="preserve">a relação Executivo </w:t>
      </w:r>
      <w:r w:rsidR="00423485">
        <w:rPr>
          <w:color w:val="000000"/>
        </w:rPr>
        <w:lastRenderedPageBreak/>
        <w:t>–</w:t>
      </w:r>
      <w:r>
        <w:rPr>
          <w:color w:val="000000"/>
        </w:rPr>
        <w:t xml:space="preserve"> Legislativo</w:t>
      </w:r>
      <w:r w:rsidR="00423485">
        <w:rPr>
          <w:color w:val="000000"/>
        </w:rPr>
        <w:t xml:space="preserve">. </w:t>
      </w:r>
      <w:r>
        <w:rPr>
          <w:color w:val="000000"/>
        </w:rPr>
        <w:t>Já e</w:t>
      </w:r>
      <w:r w:rsidR="00423485">
        <w:rPr>
          <w:color w:val="000000"/>
        </w:rPr>
        <w:t>m termos de cargos no executivo provincial a partir de 2007</w:t>
      </w:r>
      <w:r>
        <w:rPr>
          <w:color w:val="000000"/>
        </w:rPr>
        <w:t xml:space="preserve">, os dados do quadro resumo acima apontam que </w:t>
      </w:r>
      <w:r w:rsidR="00423485">
        <w:rPr>
          <w:color w:val="000000"/>
        </w:rPr>
        <w:t>das 26 posições, 15 delas são ocupadas por políticos oriundos do Partido Justicialista, com destaque para a Província de Buenos Aires (Daniel Scioli) entre os partidos de “oposição” cabe apontar 4 posições acupadas pela UCR e destacar a ocupação de Mauricio Macri (PRO) na Ciudad de Buenos Aires.</w:t>
      </w:r>
    </w:p>
    <w:p w:rsidR="002552BA" w:rsidRDefault="002552BA" w:rsidP="00ED16B6">
      <w:pPr>
        <w:jc w:val="center"/>
        <w:rPr>
          <w:b/>
        </w:rPr>
      </w:pPr>
    </w:p>
    <w:p w:rsidR="00ED16B6" w:rsidRPr="005F35BA" w:rsidRDefault="00ED16B6" w:rsidP="00ED16B6">
      <w:pPr>
        <w:jc w:val="center"/>
        <w:rPr>
          <w:b/>
        </w:rPr>
      </w:pPr>
      <w:r>
        <w:rPr>
          <w:b/>
        </w:rPr>
        <w:t>Tabela. Quadro – Resumo Capacidade de Coordenação (2011 – 2015)</w:t>
      </w:r>
    </w:p>
    <w:tbl>
      <w:tblPr>
        <w:tblW w:w="5158" w:type="pct"/>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43"/>
        <w:gridCol w:w="2798"/>
        <w:gridCol w:w="1013"/>
        <w:gridCol w:w="2106"/>
        <w:gridCol w:w="1157"/>
      </w:tblGrid>
      <w:tr w:rsidR="00ED16B6" w:rsidRPr="00ED16B6" w:rsidTr="00631853">
        <w:trPr>
          <w:trHeight w:val="300"/>
          <w:jc w:val="center"/>
        </w:trPr>
        <w:tc>
          <w:tcPr>
            <w:tcW w:w="1033" w:type="pct"/>
            <w:vAlign w:val="center"/>
          </w:tcPr>
          <w:p w:rsidR="00ED16B6" w:rsidRPr="00ED16B6" w:rsidRDefault="00ED16B6" w:rsidP="009A060E">
            <w:pPr>
              <w:jc w:val="center"/>
              <w:rPr>
                <w:b/>
                <w:bCs/>
                <w:color w:val="000000"/>
                <w:sz w:val="20"/>
                <w:szCs w:val="20"/>
              </w:rPr>
            </w:pPr>
          </w:p>
        </w:tc>
        <w:tc>
          <w:tcPr>
            <w:tcW w:w="2137" w:type="pct"/>
            <w:gridSpan w:val="2"/>
            <w:shd w:val="clear" w:color="auto" w:fill="auto"/>
            <w:noWrap/>
            <w:vAlign w:val="center"/>
            <w:hideMark/>
          </w:tcPr>
          <w:p w:rsidR="00ED16B6" w:rsidRPr="00ED16B6" w:rsidRDefault="00ED16B6" w:rsidP="00ED16B6">
            <w:pPr>
              <w:jc w:val="center"/>
              <w:rPr>
                <w:b/>
                <w:bCs/>
                <w:color w:val="000000"/>
                <w:sz w:val="20"/>
                <w:szCs w:val="20"/>
              </w:rPr>
            </w:pPr>
            <w:r w:rsidRPr="00ED16B6">
              <w:rPr>
                <w:b/>
                <w:bCs/>
                <w:color w:val="000000"/>
                <w:sz w:val="20"/>
                <w:szCs w:val="20"/>
              </w:rPr>
              <w:t>2011- 2015</w:t>
            </w:r>
          </w:p>
        </w:tc>
        <w:tc>
          <w:tcPr>
            <w:tcW w:w="1181" w:type="pct"/>
            <w:vMerge w:val="restart"/>
            <w:shd w:val="clear" w:color="auto" w:fill="auto"/>
            <w:noWrap/>
            <w:vAlign w:val="center"/>
            <w:hideMark/>
          </w:tcPr>
          <w:p w:rsidR="00ED16B6" w:rsidRPr="00ED16B6" w:rsidRDefault="00ED16B6" w:rsidP="00ED16B6">
            <w:pPr>
              <w:jc w:val="center"/>
              <w:rPr>
                <w:b/>
                <w:bCs/>
                <w:color w:val="000000"/>
                <w:sz w:val="20"/>
                <w:szCs w:val="20"/>
              </w:rPr>
            </w:pPr>
            <w:r w:rsidRPr="00ED16B6">
              <w:rPr>
                <w:b/>
                <w:bCs/>
                <w:color w:val="000000"/>
                <w:sz w:val="20"/>
                <w:szCs w:val="20"/>
              </w:rPr>
              <w:t>Partido do Presidente</w:t>
            </w:r>
          </w:p>
        </w:tc>
        <w:tc>
          <w:tcPr>
            <w:tcW w:w="649" w:type="pct"/>
            <w:vMerge w:val="restart"/>
            <w:shd w:val="clear" w:color="auto" w:fill="auto"/>
            <w:noWrap/>
            <w:vAlign w:val="center"/>
            <w:hideMark/>
          </w:tcPr>
          <w:p w:rsidR="00ED16B6" w:rsidRPr="00ED16B6" w:rsidRDefault="00ED16B6" w:rsidP="00ED16B6">
            <w:pPr>
              <w:jc w:val="center"/>
              <w:rPr>
                <w:b/>
                <w:bCs/>
                <w:color w:val="000000"/>
                <w:sz w:val="20"/>
                <w:szCs w:val="20"/>
              </w:rPr>
            </w:pPr>
            <w:r w:rsidRPr="00ED16B6">
              <w:rPr>
                <w:b/>
                <w:bCs/>
                <w:color w:val="000000"/>
                <w:sz w:val="20"/>
                <w:szCs w:val="20"/>
              </w:rPr>
              <w:t>Base Aliada</w:t>
            </w:r>
          </w:p>
        </w:tc>
      </w:tr>
      <w:tr w:rsidR="00ED16B6" w:rsidRPr="00ED16B6" w:rsidTr="00631853">
        <w:trPr>
          <w:trHeight w:val="300"/>
          <w:jc w:val="center"/>
        </w:trPr>
        <w:tc>
          <w:tcPr>
            <w:tcW w:w="1033" w:type="pct"/>
            <w:vAlign w:val="center"/>
          </w:tcPr>
          <w:p w:rsidR="00ED16B6" w:rsidRPr="00ED16B6" w:rsidRDefault="00ED16B6" w:rsidP="009A060E">
            <w:pPr>
              <w:jc w:val="center"/>
              <w:rPr>
                <w:b/>
                <w:bCs/>
                <w:color w:val="000000"/>
                <w:sz w:val="20"/>
                <w:szCs w:val="20"/>
              </w:rPr>
            </w:pPr>
            <w:r w:rsidRPr="00ED16B6">
              <w:rPr>
                <w:b/>
                <w:bCs/>
                <w:color w:val="000000"/>
                <w:sz w:val="20"/>
                <w:szCs w:val="20"/>
              </w:rPr>
              <w:t>Província / Estado</w:t>
            </w:r>
          </w:p>
        </w:tc>
        <w:tc>
          <w:tcPr>
            <w:tcW w:w="1569" w:type="pct"/>
            <w:shd w:val="clear" w:color="auto" w:fill="auto"/>
            <w:noWrap/>
            <w:vAlign w:val="center"/>
            <w:hideMark/>
          </w:tcPr>
          <w:p w:rsidR="00ED16B6" w:rsidRPr="00ED16B6" w:rsidRDefault="00ED16B6" w:rsidP="00ED16B6">
            <w:pPr>
              <w:jc w:val="center"/>
              <w:rPr>
                <w:b/>
                <w:bCs/>
                <w:color w:val="000000"/>
                <w:sz w:val="20"/>
                <w:szCs w:val="20"/>
              </w:rPr>
            </w:pPr>
            <w:r w:rsidRPr="00ED16B6">
              <w:rPr>
                <w:b/>
                <w:bCs/>
                <w:color w:val="000000"/>
                <w:sz w:val="20"/>
                <w:szCs w:val="20"/>
              </w:rPr>
              <w:t>Governador</w:t>
            </w:r>
          </w:p>
        </w:tc>
        <w:tc>
          <w:tcPr>
            <w:tcW w:w="568" w:type="pct"/>
            <w:shd w:val="clear" w:color="auto" w:fill="auto"/>
            <w:noWrap/>
            <w:vAlign w:val="center"/>
            <w:hideMark/>
          </w:tcPr>
          <w:p w:rsidR="00ED16B6" w:rsidRPr="00ED16B6" w:rsidRDefault="00ED16B6" w:rsidP="00ED16B6">
            <w:pPr>
              <w:jc w:val="center"/>
              <w:rPr>
                <w:b/>
                <w:bCs/>
                <w:color w:val="000000"/>
                <w:sz w:val="20"/>
                <w:szCs w:val="20"/>
              </w:rPr>
            </w:pPr>
            <w:r w:rsidRPr="00ED16B6">
              <w:rPr>
                <w:b/>
                <w:bCs/>
                <w:color w:val="000000"/>
                <w:sz w:val="20"/>
                <w:szCs w:val="20"/>
              </w:rPr>
              <w:t>Partido</w:t>
            </w:r>
          </w:p>
        </w:tc>
        <w:tc>
          <w:tcPr>
            <w:tcW w:w="1181" w:type="pct"/>
            <w:vMerge/>
            <w:vAlign w:val="center"/>
            <w:hideMark/>
          </w:tcPr>
          <w:p w:rsidR="00ED16B6" w:rsidRPr="00ED16B6" w:rsidRDefault="00ED16B6" w:rsidP="00ED16B6">
            <w:pPr>
              <w:jc w:val="center"/>
              <w:rPr>
                <w:b/>
                <w:bCs/>
                <w:color w:val="000000"/>
                <w:sz w:val="20"/>
                <w:szCs w:val="20"/>
              </w:rPr>
            </w:pPr>
          </w:p>
        </w:tc>
        <w:tc>
          <w:tcPr>
            <w:tcW w:w="649" w:type="pct"/>
            <w:vMerge/>
            <w:vAlign w:val="center"/>
            <w:hideMark/>
          </w:tcPr>
          <w:p w:rsidR="00ED16B6" w:rsidRPr="00ED16B6" w:rsidRDefault="00ED16B6" w:rsidP="00ED16B6">
            <w:pPr>
              <w:jc w:val="center"/>
              <w:rPr>
                <w:b/>
                <w:bCs/>
                <w:color w:val="000000"/>
                <w:sz w:val="20"/>
                <w:szCs w:val="20"/>
              </w:rPr>
            </w:pP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BUE: Buenos Aires</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Daniel Scioli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tcBorders>
              <w:bottom w:val="single" w:sz="4" w:space="0" w:color="auto"/>
            </w:tcBorders>
            <w:vAlign w:val="center"/>
          </w:tcPr>
          <w:p w:rsidR="00ED16B6" w:rsidRPr="00ED16B6" w:rsidRDefault="00ED16B6" w:rsidP="009A060E">
            <w:pPr>
              <w:jc w:val="center"/>
              <w:rPr>
                <w:color w:val="000000"/>
                <w:sz w:val="20"/>
                <w:szCs w:val="20"/>
              </w:rPr>
            </w:pPr>
            <w:r w:rsidRPr="00ED16B6">
              <w:rPr>
                <w:color w:val="000000"/>
                <w:sz w:val="20"/>
                <w:szCs w:val="20"/>
              </w:rPr>
              <w:t>CABA: Ciudad Autónoma de Buenos Aires</w:t>
            </w:r>
          </w:p>
        </w:tc>
        <w:tc>
          <w:tcPr>
            <w:tcW w:w="1569"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Mauricio Macri</w:t>
            </w:r>
          </w:p>
        </w:tc>
        <w:tc>
          <w:tcPr>
            <w:tcW w:w="568"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PRO</w:t>
            </w:r>
          </w:p>
        </w:tc>
        <w:tc>
          <w:tcPr>
            <w:tcW w:w="1181"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tcBorders>
              <w:bottom w:val="single" w:sz="4" w:space="0" w:color="auto"/>
            </w:tcBorders>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0</w:t>
            </w:r>
          </w:p>
        </w:tc>
      </w:tr>
      <w:tr w:rsidR="00ED16B6" w:rsidRPr="00ED16B6" w:rsidTr="00631853">
        <w:trPr>
          <w:trHeight w:val="315"/>
          <w:jc w:val="center"/>
        </w:trPr>
        <w:tc>
          <w:tcPr>
            <w:tcW w:w="1033" w:type="pct"/>
            <w:tcBorders>
              <w:bottom w:val="single" w:sz="4" w:space="0" w:color="auto"/>
            </w:tcBorders>
            <w:vAlign w:val="center"/>
          </w:tcPr>
          <w:p w:rsidR="00ED16B6" w:rsidRPr="00ED16B6" w:rsidRDefault="00ED16B6" w:rsidP="009A060E">
            <w:pPr>
              <w:jc w:val="center"/>
              <w:rPr>
                <w:color w:val="000000"/>
                <w:sz w:val="20"/>
                <w:szCs w:val="20"/>
              </w:rPr>
            </w:pPr>
            <w:r w:rsidRPr="00ED16B6">
              <w:rPr>
                <w:color w:val="000000"/>
                <w:sz w:val="20"/>
                <w:szCs w:val="20"/>
              </w:rPr>
              <w:t>CAT: Catamarca</w:t>
            </w:r>
          </w:p>
        </w:tc>
        <w:tc>
          <w:tcPr>
            <w:tcW w:w="1569"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Lucía Benigna Corpacci</w:t>
            </w:r>
          </w:p>
        </w:tc>
        <w:tc>
          <w:tcPr>
            <w:tcW w:w="568"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tcBorders>
              <w:bottom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tcBorders>
              <w:bottom w:val="single" w:sz="4" w:space="0" w:color="auto"/>
            </w:tcBorders>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tcBorders>
              <w:top w:val="single" w:sz="4" w:space="0" w:color="auto"/>
            </w:tcBorders>
            <w:vAlign w:val="center"/>
          </w:tcPr>
          <w:p w:rsidR="00ED16B6" w:rsidRPr="00ED16B6" w:rsidRDefault="00ED16B6" w:rsidP="009A060E">
            <w:pPr>
              <w:jc w:val="center"/>
              <w:rPr>
                <w:color w:val="000000"/>
                <w:sz w:val="20"/>
                <w:szCs w:val="20"/>
              </w:rPr>
            </w:pPr>
            <w:r w:rsidRPr="00ED16B6">
              <w:rPr>
                <w:color w:val="000000"/>
                <w:sz w:val="20"/>
                <w:szCs w:val="20"/>
              </w:rPr>
              <w:t>CBA: Córdoba</w:t>
            </w:r>
          </w:p>
        </w:tc>
        <w:tc>
          <w:tcPr>
            <w:tcW w:w="1569" w:type="pct"/>
            <w:tcBorders>
              <w:top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José Manuel de la Sota</w:t>
            </w:r>
          </w:p>
        </w:tc>
        <w:tc>
          <w:tcPr>
            <w:tcW w:w="568" w:type="pct"/>
            <w:tcBorders>
              <w:top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tcBorders>
              <w:top w:val="single" w:sz="4" w:space="0" w:color="auto"/>
            </w:tcBorders>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tcBorders>
              <w:top w:val="single" w:sz="4" w:space="0" w:color="auto"/>
            </w:tcBorders>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CHA: Chaco</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Jorge Capitanich</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CHU: Chubut</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Martín Buzzi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COR: Corrientes</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Ricado Colombi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UCR</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0</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ERI: Entre Rios</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Sergio Daniel Urribarri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FOR: Formosa</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Gildo Insfran</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JUJ: Jujuy</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Eduardo Alfredo Fellner</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LAP: La Pampa</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Oscar Mario Jorge</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LRJ: La Rioja</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Luis Beder Herrera</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C734ED"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MIS: Misiones</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Maurice Fabián Closs</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FR</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DC1425" w:rsidP="00ED16B6">
            <w:pPr>
              <w:jc w:val="center"/>
              <w:rPr>
                <w:color w:val="000000"/>
                <w:sz w:val="20"/>
                <w:szCs w:val="20"/>
              </w:rPr>
            </w:pPr>
            <w:r>
              <w:rPr>
                <w:color w:val="000000"/>
                <w:sz w:val="20"/>
                <w:szCs w:val="20"/>
              </w:rPr>
              <w:t>0</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MZA: Mendoza</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Francisco Pérez</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DC1425"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NEU: Neuquén</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Jorge Augusto Sapag</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MPN</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0</w:t>
            </w:r>
          </w:p>
        </w:tc>
      </w:tr>
      <w:tr w:rsidR="00ED16B6" w:rsidRPr="00ED16B6" w:rsidTr="00631853">
        <w:trPr>
          <w:trHeight w:val="639"/>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RNO: Río Negro</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Carlos Soria / Alberto Weretilneck</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 / FG</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DC1425"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SAL: Salta</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Juan Manuel Urtubey</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 + PRS</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DC1425" w:rsidP="00ED16B6">
            <w:pPr>
              <w:jc w:val="center"/>
              <w:rPr>
                <w:color w:val="000000"/>
                <w:sz w:val="20"/>
                <w:szCs w:val="20"/>
              </w:rPr>
            </w:pPr>
            <w:r>
              <w:rPr>
                <w:color w:val="000000"/>
                <w:sz w:val="20"/>
                <w:szCs w:val="20"/>
              </w:rPr>
              <w:t>1</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SCR: Santa Cruz</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Daniel Román Peralta</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DC1425" w:rsidP="00ED16B6">
            <w:pPr>
              <w:jc w:val="center"/>
              <w:rPr>
                <w:color w:val="000000"/>
                <w:sz w:val="20"/>
                <w:szCs w:val="20"/>
              </w:rPr>
            </w:pPr>
            <w:r>
              <w:rPr>
                <w:color w:val="000000"/>
                <w:sz w:val="20"/>
                <w:szCs w:val="20"/>
              </w:rPr>
              <w:t>1</w:t>
            </w:r>
          </w:p>
        </w:tc>
      </w:tr>
      <w:tr w:rsidR="00ED16B6" w:rsidRPr="00ED16B6" w:rsidTr="002552BA">
        <w:trPr>
          <w:trHeight w:val="488"/>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SFE: Santa Fe</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Antonio Bonfatti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OS</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0</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SGO: Santiago del Estero</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Gerardo Zamora / Claudia Ledesma Abdala</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UCR/ FCS</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0</w:t>
            </w:r>
          </w:p>
        </w:tc>
      </w:tr>
      <w:tr w:rsidR="00ED16B6" w:rsidRPr="00ED16B6" w:rsidTr="002552BA">
        <w:trPr>
          <w:trHeight w:val="670"/>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SJU: San Juan</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José Luis Gioja  / Sergio Mauricio Uñac</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1</w:t>
            </w:r>
          </w:p>
        </w:tc>
      </w:tr>
      <w:tr w:rsidR="00ED16B6" w:rsidRPr="00ED16B6" w:rsidTr="002552BA">
        <w:trPr>
          <w:trHeight w:val="438"/>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SLU: San Luís</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Claudio Poggi</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1</w:t>
            </w:r>
          </w:p>
        </w:tc>
      </w:tr>
      <w:tr w:rsidR="00ED16B6" w:rsidRPr="00ED16B6" w:rsidTr="002552BA">
        <w:trPr>
          <w:trHeight w:val="667"/>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TDF: Tierra del Fuego</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María Fabiana Ríos</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PSP</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0</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0</w:t>
            </w:r>
          </w:p>
        </w:tc>
      </w:tr>
      <w:tr w:rsidR="00ED16B6" w:rsidRPr="00ED16B6" w:rsidTr="00631853">
        <w:trPr>
          <w:trHeight w:val="315"/>
          <w:jc w:val="center"/>
        </w:trPr>
        <w:tc>
          <w:tcPr>
            <w:tcW w:w="1033" w:type="pct"/>
            <w:vAlign w:val="center"/>
          </w:tcPr>
          <w:p w:rsidR="00ED16B6" w:rsidRPr="00ED16B6" w:rsidRDefault="00ED16B6" w:rsidP="009A060E">
            <w:pPr>
              <w:jc w:val="center"/>
              <w:rPr>
                <w:color w:val="000000"/>
                <w:sz w:val="20"/>
                <w:szCs w:val="20"/>
              </w:rPr>
            </w:pPr>
            <w:r w:rsidRPr="00ED16B6">
              <w:rPr>
                <w:color w:val="000000"/>
                <w:sz w:val="20"/>
                <w:szCs w:val="20"/>
              </w:rPr>
              <w:t>TUC: Tucumán</w:t>
            </w:r>
          </w:p>
        </w:tc>
        <w:tc>
          <w:tcPr>
            <w:tcW w:w="1569"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José Jorge Alperovich</w:t>
            </w:r>
          </w:p>
        </w:tc>
        <w:tc>
          <w:tcPr>
            <w:tcW w:w="568"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PJ</w:t>
            </w:r>
          </w:p>
        </w:tc>
        <w:tc>
          <w:tcPr>
            <w:tcW w:w="1181" w:type="pct"/>
            <w:shd w:val="clear" w:color="auto" w:fill="auto"/>
            <w:noWrap/>
            <w:vAlign w:val="center"/>
            <w:hideMark/>
          </w:tcPr>
          <w:p w:rsidR="00ED16B6" w:rsidRPr="00ED16B6" w:rsidRDefault="00ED16B6" w:rsidP="00ED16B6">
            <w:pPr>
              <w:jc w:val="center"/>
              <w:rPr>
                <w:color w:val="000000"/>
                <w:sz w:val="20"/>
                <w:szCs w:val="20"/>
              </w:rPr>
            </w:pPr>
            <w:r w:rsidRPr="00ED16B6">
              <w:rPr>
                <w:color w:val="000000"/>
                <w:sz w:val="20"/>
                <w:szCs w:val="20"/>
              </w:rPr>
              <w:t>1</w:t>
            </w:r>
          </w:p>
        </w:tc>
        <w:tc>
          <w:tcPr>
            <w:tcW w:w="649" w:type="pct"/>
            <w:shd w:val="clear" w:color="auto" w:fill="auto"/>
            <w:noWrap/>
            <w:vAlign w:val="center"/>
            <w:hideMark/>
          </w:tcPr>
          <w:p w:rsidR="00ED16B6" w:rsidRPr="00ED16B6" w:rsidRDefault="002552BA" w:rsidP="00ED16B6">
            <w:pPr>
              <w:jc w:val="center"/>
              <w:rPr>
                <w:color w:val="000000"/>
                <w:sz w:val="20"/>
                <w:szCs w:val="20"/>
              </w:rPr>
            </w:pPr>
            <w:r>
              <w:rPr>
                <w:color w:val="000000"/>
                <w:sz w:val="20"/>
                <w:szCs w:val="20"/>
              </w:rPr>
              <w:t>1</w:t>
            </w:r>
          </w:p>
        </w:tc>
      </w:tr>
    </w:tbl>
    <w:p w:rsidR="000E6BE3" w:rsidRPr="00631853" w:rsidRDefault="00631853" w:rsidP="00631853">
      <w:pPr>
        <w:autoSpaceDE w:val="0"/>
        <w:autoSpaceDN w:val="0"/>
        <w:adjustRightInd w:val="0"/>
        <w:spacing w:line="360" w:lineRule="auto"/>
        <w:jc w:val="both"/>
        <w:rPr>
          <w:color w:val="000000"/>
          <w:sz w:val="20"/>
          <w:szCs w:val="20"/>
        </w:rPr>
      </w:pPr>
      <w:r w:rsidRPr="00631853">
        <w:rPr>
          <w:color w:val="000000"/>
          <w:sz w:val="20"/>
          <w:szCs w:val="20"/>
        </w:rPr>
        <w:t>Elaborado pelo autor. Fonte: http://www.primarias2011.gob.ar/paginas/paginas/dat02/DGO02999.htm</w:t>
      </w:r>
    </w:p>
    <w:p w:rsidR="00FF0483" w:rsidRDefault="00FF0483" w:rsidP="00345568">
      <w:pPr>
        <w:jc w:val="both"/>
        <w:rPr>
          <w:b/>
        </w:rPr>
      </w:pPr>
    </w:p>
    <w:p w:rsidR="00FF0483" w:rsidRDefault="00FF0483" w:rsidP="00345568">
      <w:pPr>
        <w:jc w:val="both"/>
        <w:rPr>
          <w:b/>
        </w:rPr>
      </w:pPr>
    </w:p>
    <w:p w:rsidR="00345568" w:rsidRPr="00F520E6" w:rsidRDefault="00345568" w:rsidP="00345568">
      <w:pPr>
        <w:jc w:val="both"/>
        <w:rPr>
          <w:b/>
        </w:rPr>
      </w:pPr>
      <w:r>
        <w:rPr>
          <w:b/>
        </w:rPr>
        <w:lastRenderedPageBreak/>
        <w:t>A relação entre Daniel Scioli e Cristina Ferna</w:t>
      </w:r>
      <w:r w:rsidR="00C44634">
        <w:rPr>
          <w:b/>
        </w:rPr>
        <w:t>n</w:t>
      </w:r>
      <w:r>
        <w:rPr>
          <w:b/>
        </w:rPr>
        <w:t>déz de Kirchner</w:t>
      </w:r>
      <w:r w:rsidR="00473E8A">
        <w:rPr>
          <w:b/>
        </w:rPr>
        <w:t>: a</w:t>
      </w:r>
      <w:r w:rsidR="00FD731C">
        <w:rPr>
          <w:b/>
        </w:rPr>
        <w:t>s</w:t>
      </w:r>
      <w:r>
        <w:rPr>
          <w:b/>
        </w:rPr>
        <w:t xml:space="preserve"> </w:t>
      </w:r>
      <w:r w:rsidR="00473E8A">
        <w:rPr>
          <w:b/>
        </w:rPr>
        <w:t>divergências</w:t>
      </w:r>
    </w:p>
    <w:p w:rsidR="00345568" w:rsidRDefault="00345568" w:rsidP="00345568">
      <w:pPr>
        <w:jc w:val="both"/>
      </w:pPr>
    </w:p>
    <w:p w:rsidR="00345568" w:rsidRDefault="00345568" w:rsidP="00345568">
      <w:pPr>
        <w:spacing w:line="360" w:lineRule="auto"/>
        <w:ind w:firstLine="708"/>
        <w:jc w:val="both"/>
      </w:pPr>
      <w:r>
        <w:t xml:space="preserve">Para Tagina e Varetto (2013), a relação entre o Governador da Província de Buenos Aires e a Presidenta Cristina Fernandez entraria em conflito em meio a definição do nome potencial a sucessão presidencial. Nesse contexto, Scioli como um dos candidatos de maior chance em termos de ocupar a cédula eleitoral tornaria público o seu interesse em concorrer a Casa Rosada, ainda que em meio a indefinição sobre a mudança legislativa que poderia permitir CFK concorrer uma vez mais ao cargo. Em adição os autores apontariam que “A lo largo de todo el año hubo gran cantidad de cruces, especialmente desde el kirchnerismo, sobre las actividades y declaraciones del gobernador” (TAGINA E VARETTO, 2013). Dessa forma, as divergências estariam ligadas as aspirações ascendentes do Governador Daniel Scioli. </w:t>
      </w:r>
    </w:p>
    <w:p w:rsidR="002B04B1" w:rsidRDefault="002B04B1" w:rsidP="00701766">
      <w:pPr>
        <w:ind w:firstLine="708"/>
        <w:jc w:val="both"/>
        <w:rPr>
          <w:b/>
        </w:rPr>
      </w:pPr>
    </w:p>
    <w:p w:rsidR="00701766" w:rsidRPr="00A439E5" w:rsidRDefault="00AC39B1" w:rsidP="00701766">
      <w:pPr>
        <w:ind w:firstLine="708"/>
        <w:jc w:val="both"/>
        <w:rPr>
          <w:b/>
        </w:rPr>
      </w:pPr>
      <w:r>
        <w:rPr>
          <w:b/>
        </w:rPr>
        <w:t xml:space="preserve">3.2 </w:t>
      </w:r>
      <w:r w:rsidR="00701766">
        <w:rPr>
          <w:b/>
        </w:rPr>
        <w:t>A</w:t>
      </w:r>
      <w:r w:rsidR="00701766" w:rsidRPr="00A439E5">
        <w:rPr>
          <w:b/>
        </w:rPr>
        <w:t>s Unidades Subnacionais no Brasil</w:t>
      </w:r>
    </w:p>
    <w:p w:rsidR="00701766" w:rsidRDefault="00701766" w:rsidP="00701766">
      <w:pPr>
        <w:jc w:val="both"/>
      </w:pPr>
    </w:p>
    <w:p w:rsidR="00BC6AE1" w:rsidRPr="00BC6AE1" w:rsidRDefault="00BC6AE1" w:rsidP="00BC6AE1">
      <w:pPr>
        <w:spacing w:line="360" w:lineRule="auto"/>
        <w:ind w:firstLine="708"/>
        <w:jc w:val="both"/>
      </w:pPr>
      <w:r w:rsidRPr="00BC6AE1">
        <w:rPr>
          <w:color w:val="000000"/>
        </w:rPr>
        <w:t xml:space="preserve">Em coletânea resultante da oferta da disciplina sobre “Temas e Prática em Relações Internacionais” ofertada pelo IRI/USP, Jacques Marcovitch (2014) organizou um volume que inclui contribuições de diversos autores sore o tema das “relações internacionais das unidades subnacionais”.  Nessa ocasião, os trabalhos tiveram como foco as seguintes unidades: a) Estado de São Paulo –(Rodrigo Tavares); b) Estado do Rio de Janeiro –(Pedro Spadale); c) Minas Gerais (Chyara Sales Pereira); d) Estado do Rio Grande do Sul –(Tarson Núñez); e) Prefeitura Municipal de São Paulo –(Leonardo Barchini Rosa); f) Cidade do Rio de Janeiro –(Laudemar Gonçalves de Aguiar Neto); g) Município de Belo Horizonte –(Rodrigo de Oliveira Perpétuo). </w:t>
      </w:r>
    </w:p>
    <w:p w:rsidR="00BC6AE1" w:rsidRPr="00BC6AE1" w:rsidRDefault="00BC6AE1" w:rsidP="00BC6AE1">
      <w:pPr>
        <w:spacing w:line="360" w:lineRule="auto"/>
        <w:ind w:firstLine="708"/>
        <w:jc w:val="both"/>
      </w:pPr>
      <w:r w:rsidRPr="00BC6AE1">
        <w:rPr>
          <w:color w:val="000000"/>
        </w:rPr>
        <w:t>O texto que abre o volume é de autoria do embaixador Rubens Barbosa (2014) que em sua participação nos seminários que deram origem a publicação, defendeu que  a i) descentralização política e a o ii) surgimento do Mercosul – processos ocorridos entre os anos de 1980 e 1990— contribuiram para o estabelecimento de contatos das unidades federativas brasileiras entre seus pares ou países. Nesse contexto, o autor argumenta que coube ao governo federal a tarefa de “controle, decisão e acompanhamento”. O autor segue indicando que as dimensões da a) estabilização e b) abertura da economia somaram-se aos dois elementos indicados – i) e ii) – na “consolidação da política externa federativa”.</w:t>
      </w:r>
    </w:p>
    <w:p w:rsidR="003855F5" w:rsidRDefault="003855F5" w:rsidP="003855F5">
      <w:pPr>
        <w:spacing w:line="360" w:lineRule="auto"/>
        <w:ind w:firstLine="708"/>
        <w:jc w:val="both"/>
      </w:pPr>
      <w:r>
        <w:t xml:space="preserve">Para Bueno (2010) a paradiplomacia estudual no Brasil pode ser apresentada a partir de dois principais argumentos. O primeiro diz respeito ao impulso ao “ecletismo” </w:t>
      </w:r>
      <w:r>
        <w:lastRenderedPageBreak/>
        <w:t xml:space="preserve">temático das relações paradiplomáticas das unidades subnacionais brasileiras a despeito de uma prevalência de temas de cunho econômico. O segundo ponto defendido aponta para as dificuldades da atuação internacional desses atores que estaria vinculada à três características, a saber, a) problemas relacionados a continuidade; b) baixo grau de cooperação vertical; c) baixo nível de </w:t>
      </w:r>
      <w:r w:rsidRPr="003855F5">
        <w:rPr>
          <w:i/>
        </w:rPr>
        <w:t>accountability</w:t>
      </w:r>
      <w:r>
        <w:rPr>
          <w:i/>
        </w:rPr>
        <w:t xml:space="preserve">. </w:t>
      </w:r>
    </w:p>
    <w:p w:rsidR="002E3593" w:rsidRDefault="002E3593" w:rsidP="00701766">
      <w:pPr>
        <w:jc w:val="both"/>
      </w:pPr>
    </w:p>
    <w:p w:rsidR="00B820D6" w:rsidRDefault="00AC39B1" w:rsidP="00701766">
      <w:pPr>
        <w:jc w:val="both"/>
      </w:pPr>
      <w:r>
        <w:rPr>
          <w:b/>
        </w:rPr>
        <w:t xml:space="preserve">3.2.1 </w:t>
      </w:r>
      <w:r w:rsidR="005E023A" w:rsidRPr="00153EA0">
        <w:rPr>
          <w:b/>
        </w:rPr>
        <w:t>Capacidade de Ação Internacional</w:t>
      </w:r>
    </w:p>
    <w:p w:rsidR="00B820D6" w:rsidRDefault="00B820D6" w:rsidP="00701766">
      <w:pPr>
        <w:jc w:val="both"/>
      </w:pPr>
    </w:p>
    <w:p w:rsidR="00B820D6" w:rsidRPr="00D347E5" w:rsidRDefault="00B820D6" w:rsidP="00B820D6">
      <w:pPr>
        <w:pStyle w:val="PargrafodaLista"/>
        <w:numPr>
          <w:ilvl w:val="0"/>
          <w:numId w:val="33"/>
        </w:numPr>
        <w:jc w:val="both"/>
        <w:rPr>
          <w:rFonts w:ascii="Times New Roman" w:hAnsi="Times New Roman"/>
          <w:b/>
          <w:sz w:val="24"/>
        </w:rPr>
      </w:pPr>
      <w:r w:rsidRPr="00D347E5">
        <w:rPr>
          <w:rFonts w:ascii="Times New Roman" w:hAnsi="Times New Roman"/>
          <w:b/>
          <w:sz w:val="24"/>
        </w:rPr>
        <w:t xml:space="preserve">Existência </w:t>
      </w:r>
      <w:r>
        <w:rPr>
          <w:rFonts w:ascii="Times New Roman" w:hAnsi="Times New Roman"/>
          <w:b/>
          <w:sz w:val="24"/>
        </w:rPr>
        <w:t>de Organismos específicos para Relações In</w:t>
      </w:r>
      <w:r w:rsidRPr="00D347E5">
        <w:rPr>
          <w:rFonts w:ascii="Times New Roman" w:hAnsi="Times New Roman"/>
          <w:b/>
          <w:sz w:val="24"/>
        </w:rPr>
        <w:t>ternacionais</w:t>
      </w:r>
    </w:p>
    <w:p w:rsidR="0060512E" w:rsidRDefault="0060512E" w:rsidP="00D2460A">
      <w:pPr>
        <w:spacing w:line="360" w:lineRule="auto"/>
        <w:ind w:firstLine="708"/>
        <w:jc w:val="both"/>
      </w:pPr>
      <w:r>
        <w:t>Segundo Bueno (2010), as estruturas paradiplomáticas estaduais podem ser subdivididas em três categorias</w:t>
      </w:r>
      <w:r>
        <w:rPr>
          <w:rStyle w:val="Refdenotaderodap"/>
        </w:rPr>
        <w:footnoteReference w:id="20"/>
      </w:r>
      <w:r>
        <w:t xml:space="preserve">: no primeiro grupo estariam às unidades subnacionais que estabeleceriam espaços voltados às relações internacionais com status de Secretaria, onde se localizam os Estados do Amazonas, Rio Grande do Norte, Rio Grande do Sul e Santa Catarina. Na segunda categoria integram os estados em que o órgão possui status inferior ao de secretaria, como no caso de Alagoas, Bahia, Distrito Federal, Goiás, Minas Gerais, Paraná, Rio de Janeiro e São Paulo. </w:t>
      </w:r>
    </w:p>
    <w:p w:rsidR="00B16955" w:rsidRPr="002E7B74" w:rsidRDefault="0060512E" w:rsidP="00D2460A">
      <w:pPr>
        <w:spacing w:line="360" w:lineRule="auto"/>
        <w:ind w:firstLine="708"/>
        <w:jc w:val="both"/>
      </w:pPr>
      <w:r w:rsidRPr="002E7B74">
        <w:t xml:space="preserve">Por último, os estados que não possuem organismos espefícos para as relações internacionais conforme ocorre com Ceará, Espírito Santo, Mato Grosso, Mato Grosso do Sul e Sergipe. Nesse último grupo o autor chama atenção para o caso do Ceará que no intervalo entre 1995 – 2006 teve uma atuação internacional expressiva contando com espaço para a assessoria das suas ações internacionais. Após esse período há o desaparecimento desse espaço sendo o exemplo cearense demonstrativo da dificuldade da descontinuidade. </w:t>
      </w:r>
      <w:r w:rsidR="00D2460A" w:rsidRPr="002E7B74">
        <w:t xml:space="preserve">A tabela abaixo, construída com base nos dados apontados no trabalho de Bueno (2010), apresenta a existência de estruturas dedicadas ao assessoramento dos governos estaduais em temas de relações exteriores. </w:t>
      </w:r>
    </w:p>
    <w:p w:rsidR="00A01AC6" w:rsidRDefault="00A01AC6" w:rsidP="00D2460A">
      <w:pPr>
        <w:spacing w:line="360" w:lineRule="auto"/>
        <w:ind w:firstLine="708"/>
        <w:jc w:val="both"/>
      </w:pPr>
    </w:p>
    <w:p w:rsidR="00D72565" w:rsidRDefault="00D72565" w:rsidP="00701766">
      <w:pPr>
        <w:jc w:val="both"/>
      </w:pPr>
    </w:p>
    <w:tbl>
      <w:tblPr>
        <w:tblpPr w:leftFromText="141" w:rightFromText="141" w:vertAnchor="text" w:horzAnchor="page" w:tblpX="3691" w:tblpY="-83"/>
        <w:tblW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40"/>
        <w:gridCol w:w="2580"/>
      </w:tblGrid>
      <w:tr w:rsidR="002E7B74" w:rsidRPr="007747D8" w:rsidTr="002E7B74">
        <w:trPr>
          <w:trHeight w:val="315"/>
        </w:trPr>
        <w:tc>
          <w:tcPr>
            <w:tcW w:w="2740" w:type="dxa"/>
            <w:shd w:val="clear" w:color="auto" w:fill="auto"/>
            <w:noWrap/>
            <w:hideMark/>
          </w:tcPr>
          <w:p w:rsidR="002E7B74" w:rsidRPr="007747D8" w:rsidRDefault="002E7B74" w:rsidP="002E7B74">
            <w:pPr>
              <w:jc w:val="center"/>
              <w:rPr>
                <w:b/>
                <w:color w:val="000000"/>
              </w:rPr>
            </w:pPr>
            <w:r w:rsidRPr="007747D8">
              <w:rPr>
                <w:b/>
                <w:color w:val="000000"/>
              </w:rPr>
              <w:t>Estado</w:t>
            </w:r>
          </w:p>
        </w:tc>
        <w:tc>
          <w:tcPr>
            <w:tcW w:w="2580" w:type="dxa"/>
            <w:shd w:val="clear" w:color="auto" w:fill="auto"/>
            <w:noWrap/>
            <w:hideMark/>
          </w:tcPr>
          <w:p w:rsidR="002E7B74" w:rsidRPr="007747D8" w:rsidRDefault="002E7B74" w:rsidP="002E7B74">
            <w:pPr>
              <w:jc w:val="center"/>
              <w:rPr>
                <w:b/>
                <w:color w:val="000000"/>
              </w:rPr>
            </w:pPr>
            <w:r w:rsidRPr="007747D8">
              <w:rPr>
                <w:b/>
                <w:color w:val="000000"/>
                <w:sz w:val="22"/>
                <w:szCs w:val="22"/>
              </w:rPr>
              <w:t>Organismo / RI</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Pr>
                <w:color w:val="000000"/>
              </w:rPr>
              <w:t>AC</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Pr>
                <w:color w:val="000000"/>
              </w:rPr>
              <w:t>AL</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Pr>
                <w:color w:val="000000"/>
              </w:rPr>
              <w:t>AM</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Pr>
                <w:color w:val="000000"/>
              </w:rPr>
              <w:t>AP</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Pr>
                <w:color w:val="000000"/>
              </w:rPr>
              <w:t>BA</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CE</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DF</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lastRenderedPageBreak/>
              <w:t>ES</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GO</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MA</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MG</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MS</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MT</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PA</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PB</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PE</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PI</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PR</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RJ</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RN</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RO</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RR</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RS</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SC</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SE</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SP</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1</w:t>
            </w:r>
          </w:p>
        </w:tc>
      </w:tr>
      <w:tr w:rsidR="002E7B74" w:rsidRPr="007747D8" w:rsidTr="002E7B74">
        <w:trPr>
          <w:trHeight w:val="315"/>
        </w:trPr>
        <w:tc>
          <w:tcPr>
            <w:tcW w:w="2740" w:type="dxa"/>
            <w:shd w:val="clear" w:color="auto" w:fill="auto"/>
            <w:noWrap/>
            <w:hideMark/>
          </w:tcPr>
          <w:p w:rsidR="002E7B74" w:rsidRPr="007747D8" w:rsidRDefault="002E7B74" w:rsidP="002E7B74">
            <w:pPr>
              <w:jc w:val="center"/>
              <w:rPr>
                <w:color w:val="000000"/>
              </w:rPr>
            </w:pPr>
            <w:r w:rsidRPr="007747D8">
              <w:rPr>
                <w:color w:val="000000"/>
              </w:rPr>
              <w:t>TO</w:t>
            </w:r>
          </w:p>
        </w:tc>
        <w:tc>
          <w:tcPr>
            <w:tcW w:w="2580" w:type="dxa"/>
            <w:shd w:val="clear" w:color="auto" w:fill="auto"/>
            <w:noWrap/>
            <w:hideMark/>
          </w:tcPr>
          <w:p w:rsidR="002E7B74" w:rsidRPr="007747D8" w:rsidRDefault="002E7B74" w:rsidP="002E7B74">
            <w:pPr>
              <w:jc w:val="center"/>
              <w:rPr>
                <w:color w:val="000000"/>
              </w:rPr>
            </w:pPr>
            <w:r w:rsidRPr="007747D8">
              <w:rPr>
                <w:color w:val="000000"/>
                <w:sz w:val="22"/>
                <w:szCs w:val="22"/>
              </w:rPr>
              <w:t>0</w:t>
            </w:r>
          </w:p>
        </w:tc>
      </w:tr>
    </w:tbl>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D72565" w:rsidRDefault="00D72565" w:rsidP="00701766">
      <w:pPr>
        <w:jc w:val="both"/>
      </w:pPr>
    </w:p>
    <w:p w:rsidR="00785073" w:rsidRPr="00E918E0" w:rsidRDefault="00785073" w:rsidP="00785073">
      <w:pPr>
        <w:pStyle w:val="PargrafodaLista"/>
        <w:numPr>
          <w:ilvl w:val="0"/>
          <w:numId w:val="33"/>
        </w:numPr>
        <w:jc w:val="both"/>
        <w:rPr>
          <w:rFonts w:ascii="Times New Roman" w:hAnsi="Times New Roman"/>
          <w:b/>
          <w:sz w:val="24"/>
        </w:rPr>
      </w:pPr>
      <w:r w:rsidRPr="00E918E0">
        <w:rPr>
          <w:rFonts w:ascii="Times New Roman" w:hAnsi="Times New Roman"/>
          <w:b/>
          <w:sz w:val="24"/>
        </w:rPr>
        <w:t>Contratação de crédito direto aos Organismos Internacionais</w:t>
      </w:r>
    </w:p>
    <w:p w:rsidR="00C77967" w:rsidRPr="00C10BDB" w:rsidRDefault="00C77967" w:rsidP="00C10BDB">
      <w:pPr>
        <w:spacing w:line="360" w:lineRule="auto"/>
        <w:ind w:firstLine="708"/>
        <w:jc w:val="both"/>
        <w:rPr>
          <w:rFonts w:eastAsiaTheme="minorHAnsi"/>
          <w:lang w:eastAsia="en-US"/>
        </w:rPr>
      </w:pPr>
      <w:r w:rsidRPr="00C10BDB">
        <w:rPr>
          <w:rFonts w:eastAsiaTheme="minorHAnsi"/>
          <w:lang w:eastAsia="en-US"/>
        </w:rPr>
        <w:t xml:space="preserve">Bessa Maia e Saraiva (2016) apontam que a crise econômica </w:t>
      </w:r>
      <w:r w:rsidR="00C10BDB">
        <w:rPr>
          <w:rFonts w:eastAsiaTheme="minorHAnsi"/>
          <w:lang w:eastAsia="en-US"/>
        </w:rPr>
        <w:t xml:space="preserve">(convergência entre as dificuldades do plano cruzado, alta inflação e baixo crescimento) </w:t>
      </w:r>
      <w:r w:rsidRPr="00C10BDB">
        <w:rPr>
          <w:rFonts w:eastAsiaTheme="minorHAnsi"/>
          <w:lang w:eastAsia="en-US"/>
        </w:rPr>
        <w:t>no final dos anos de 1980 implicaram em uma “debilidade nas finanças públicas”.</w:t>
      </w:r>
      <w:r w:rsidR="00C10BDB">
        <w:rPr>
          <w:rFonts w:eastAsiaTheme="minorHAnsi"/>
          <w:lang w:eastAsia="en-US"/>
        </w:rPr>
        <w:t xml:space="preserve"> </w:t>
      </w:r>
      <w:r w:rsidRPr="00C10BDB">
        <w:rPr>
          <w:rFonts w:eastAsiaTheme="minorHAnsi"/>
          <w:lang w:eastAsia="en-US"/>
        </w:rPr>
        <w:t xml:space="preserve"> </w:t>
      </w:r>
      <w:r w:rsidR="00C10BDB">
        <w:rPr>
          <w:rFonts w:eastAsiaTheme="minorHAnsi"/>
          <w:lang w:eastAsia="en-US"/>
        </w:rPr>
        <w:t>Para os autores, dois momentos foram importantes para a trajetória de refinanciamento da dívida pública dos estados. Em primeiro lugar, impulsionado pela Lei Federal número 7.976/89 há uma rodada de renegociação das d</w:t>
      </w:r>
      <w:r w:rsidR="00F45E3E">
        <w:rPr>
          <w:rFonts w:eastAsiaTheme="minorHAnsi"/>
          <w:lang w:eastAsia="en-US"/>
        </w:rPr>
        <w:t>ívidas oriundas de endividamento externo da década de 1970 que teriam sido federalizados. Em um segundo momento, já em 1993 houve um esforço em equalizar as dívidas das unidades subna</w:t>
      </w:r>
      <w:r w:rsidR="0079356C">
        <w:rPr>
          <w:rFonts w:eastAsiaTheme="minorHAnsi"/>
          <w:lang w:eastAsia="en-US"/>
        </w:rPr>
        <w:t>cionais com os bancos federais.</w:t>
      </w:r>
    </w:p>
    <w:p w:rsidR="00C77967" w:rsidRDefault="0079356C" w:rsidP="0079356C">
      <w:pPr>
        <w:spacing w:line="360" w:lineRule="auto"/>
        <w:jc w:val="both"/>
        <w:rPr>
          <w:rFonts w:eastAsiaTheme="minorHAnsi"/>
          <w:lang w:eastAsia="en-US"/>
        </w:rPr>
      </w:pPr>
      <w:r>
        <w:rPr>
          <w:rFonts w:ascii="Garamond" w:eastAsiaTheme="minorHAnsi" w:hAnsi="Garamond" w:cs="Garamond"/>
          <w:lang w:eastAsia="en-US"/>
        </w:rPr>
        <w:tab/>
      </w:r>
      <w:r>
        <w:rPr>
          <w:rFonts w:eastAsiaTheme="minorHAnsi"/>
          <w:lang w:eastAsia="en-US"/>
        </w:rPr>
        <w:t>Nesse contexto, depois de revertido o quadro apontado os estados recuperariam no período de 2001 – 2010 a capacidade de endividamento culmunando em captação de recursos crescentes de organismos multilaterais.  Embora tenham autonomia de captação favorecid</w:t>
      </w:r>
      <w:r w:rsidR="0096558A">
        <w:rPr>
          <w:rFonts w:eastAsiaTheme="minorHAnsi"/>
          <w:lang w:eastAsia="en-US"/>
        </w:rPr>
        <w:t>a</w:t>
      </w:r>
      <w:r>
        <w:rPr>
          <w:rFonts w:eastAsiaTheme="minorHAnsi"/>
          <w:lang w:eastAsia="en-US"/>
        </w:rPr>
        <w:t xml:space="preserve"> pelo desenho federal brasileiro</w:t>
      </w:r>
      <w:r w:rsidR="0096558A">
        <w:rPr>
          <w:rFonts w:eastAsiaTheme="minorHAnsi"/>
          <w:lang w:eastAsia="en-US"/>
        </w:rPr>
        <w:t>,</w:t>
      </w:r>
      <w:r>
        <w:rPr>
          <w:rFonts w:eastAsiaTheme="minorHAnsi"/>
          <w:lang w:eastAsia="en-US"/>
        </w:rPr>
        <w:t xml:space="preserve"> o processo se tornou regulamentado pelo governo central </w:t>
      </w:r>
      <w:r w:rsidR="0096558A">
        <w:rPr>
          <w:rFonts w:eastAsiaTheme="minorHAnsi"/>
          <w:lang w:eastAsia="en-US"/>
        </w:rPr>
        <w:t xml:space="preserve">ao estabelecer – no final da década de 1980— uma série de condicionantes. Sendo assim, </w:t>
      </w:r>
      <w:r w:rsidR="0045440F">
        <w:rPr>
          <w:rFonts w:eastAsiaTheme="minorHAnsi"/>
          <w:lang w:eastAsia="en-US"/>
        </w:rPr>
        <w:t>tais regras tornariam inviável a tomada de recursos por meio de contratos de empréstimos sem a anuência do Senado Federal e garantida pelo governo central</w:t>
      </w:r>
      <w:r w:rsidR="00AA0094">
        <w:rPr>
          <w:rFonts w:eastAsiaTheme="minorHAnsi"/>
          <w:lang w:eastAsia="en-US"/>
        </w:rPr>
        <w:t xml:space="preserve"> </w:t>
      </w:r>
      <w:r w:rsidR="0045440F">
        <w:rPr>
          <w:rFonts w:eastAsiaTheme="minorHAnsi"/>
          <w:lang w:eastAsia="en-US"/>
        </w:rPr>
        <w:t xml:space="preserve">(BESSA MAIA E SARAIVA, </w:t>
      </w:r>
      <w:r w:rsidR="0045440F" w:rsidRPr="00C10BDB">
        <w:rPr>
          <w:rFonts w:eastAsiaTheme="minorHAnsi"/>
          <w:lang w:eastAsia="en-US"/>
        </w:rPr>
        <w:t>2016)</w:t>
      </w:r>
      <w:r w:rsidR="00AA0094">
        <w:rPr>
          <w:rFonts w:eastAsiaTheme="minorHAnsi"/>
          <w:lang w:eastAsia="en-US"/>
        </w:rPr>
        <w:t>.</w:t>
      </w:r>
    </w:p>
    <w:p w:rsidR="00416A9A" w:rsidRPr="00416A9A" w:rsidRDefault="00416A9A" w:rsidP="00416A9A">
      <w:pPr>
        <w:spacing w:line="360" w:lineRule="auto"/>
        <w:jc w:val="center"/>
        <w:rPr>
          <w:rFonts w:eastAsiaTheme="minorHAnsi"/>
          <w:b/>
          <w:lang w:eastAsia="en-US"/>
        </w:rPr>
      </w:pPr>
      <w:r w:rsidRPr="00416A9A">
        <w:rPr>
          <w:rFonts w:eastAsiaTheme="minorHAnsi"/>
          <w:b/>
          <w:lang w:eastAsia="en-US"/>
        </w:rPr>
        <w:lastRenderedPageBreak/>
        <w:t>Quadro Resumo – Paradiplomacia Financeira</w:t>
      </w:r>
    </w:p>
    <w:tbl>
      <w:tblPr>
        <w:tblW w:w="7400" w:type="dxa"/>
        <w:jc w:val="center"/>
        <w:tblInd w:w="53" w:type="dxa"/>
        <w:tblCellMar>
          <w:left w:w="70" w:type="dxa"/>
          <w:right w:w="70" w:type="dxa"/>
        </w:tblCellMar>
        <w:tblLook w:val="04A0"/>
      </w:tblPr>
      <w:tblGrid>
        <w:gridCol w:w="7400"/>
      </w:tblGrid>
      <w:tr w:rsidR="00416A9A" w:rsidRPr="00416A9A" w:rsidTr="00416A9A">
        <w:trPr>
          <w:trHeight w:val="300"/>
          <w:jc w:val="center"/>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A9A" w:rsidRPr="00416A9A" w:rsidRDefault="00416A9A" w:rsidP="00416A9A">
            <w:pPr>
              <w:jc w:val="center"/>
              <w:rPr>
                <w:b/>
                <w:bCs/>
                <w:color w:val="000000"/>
              </w:rPr>
            </w:pPr>
            <w:r w:rsidRPr="00416A9A">
              <w:rPr>
                <w:b/>
                <w:bCs/>
                <w:color w:val="000000"/>
                <w:szCs w:val="22"/>
              </w:rPr>
              <w:t>Etapa</w:t>
            </w:r>
          </w:p>
        </w:tc>
      </w:tr>
      <w:tr w:rsidR="00416A9A" w:rsidRPr="00416A9A" w:rsidTr="00416A9A">
        <w:trPr>
          <w:trHeight w:val="300"/>
          <w:jc w:val="center"/>
        </w:trPr>
        <w:tc>
          <w:tcPr>
            <w:tcW w:w="7400" w:type="dxa"/>
            <w:tcBorders>
              <w:top w:val="nil"/>
              <w:left w:val="single" w:sz="4" w:space="0" w:color="auto"/>
              <w:bottom w:val="single" w:sz="4" w:space="0" w:color="auto"/>
              <w:right w:val="single" w:sz="4" w:space="0" w:color="auto"/>
            </w:tcBorders>
            <w:shd w:val="clear" w:color="auto" w:fill="auto"/>
            <w:noWrap/>
            <w:vAlign w:val="center"/>
            <w:hideMark/>
          </w:tcPr>
          <w:p w:rsidR="00416A9A" w:rsidRPr="00416A9A" w:rsidRDefault="00416A9A" w:rsidP="00416A9A">
            <w:pPr>
              <w:jc w:val="center"/>
              <w:rPr>
                <w:color w:val="000000"/>
              </w:rPr>
            </w:pPr>
            <w:r w:rsidRPr="00416A9A">
              <w:rPr>
                <w:color w:val="000000"/>
                <w:szCs w:val="22"/>
              </w:rPr>
              <w:t>Aprovação da carta consulta</w:t>
            </w:r>
          </w:p>
        </w:tc>
      </w:tr>
      <w:tr w:rsidR="00416A9A" w:rsidRPr="00416A9A" w:rsidTr="00416A9A">
        <w:trPr>
          <w:trHeight w:val="300"/>
          <w:jc w:val="center"/>
        </w:trPr>
        <w:tc>
          <w:tcPr>
            <w:tcW w:w="7400" w:type="dxa"/>
            <w:tcBorders>
              <w:top w:val="nil"/>
              <w:left w:val="single" w:sz="4" w:space="0" w:color="auto"/>
              <w:bottom w:val="single" w:sz="4" w:space="0" w:color="auto"/>
              <w:right w:val="single" w:sz="4" w:space="0" w:color="auto"/>
            </w:tcBorders>
            <w:shd w:val="clear" w:color="auto" w:fill="auto"/>
            <w:noWrap/>
            <w:vAlign w:val="center"/>
            <w:hideMark/>
          </w:tcPr>
          <w:p w:rsidR="00416A9A" w:rsidRPr="00416A9A" w:rsidRDefault="00416A9A" w:rsidP="00416A9A">
            <w:pPr>
              <w:jc w:val="center"/>
              <w:rPr>
                <w:color w:val="000000"/>
              </w:rPr>
            </w:pPr>
            <w:r w:rsidRPr="00416A9A">
              <w:rPr>
                <w:color w:val="000000"/>
                <w:szCs w:val="22"/>
              </w:rPr>
              <w:t xml:space="preserve">Missões técnicas junto ao ente subnacional candidato a mutuário </w:t>
            </w:r>
          </w:p>
        </w:tc>
      </w:tr>
      <w:tr w:rsidR="00416A9A" w:rsidRPr="00416A9A" w:rsidTr="00416A9A">
        <w:trPr>
          <w:trHeight w:val="600"/>
          <w:jc w:val="center"/>
        </w:trPr>
        <w:tc>
          <w:tcPr>
            <w:tcW w:w="7400" w:type="dxa"/>
            <w:tcBorders>
              <w:top w:val="nil"/>
              <w:left w:val="single" w:sz="4" w:space="0" w:color="auto"/>
              <w:bottom w:val="single" w:sz="4" w:space="0" w:color="auto"/>
              <w:right w:val="single" w:sz="4" w:space="0" w:color="auto"/>
            </w:tcBorders>
            <w:shd w:val="clear" w:color="auto" w:fill="auto"/>
            <w:vAlign w:val="center"/>
            <w:hideMark/>
          </w:tcPr>
          <w:p w:rsidR="00416A9A" w:rsidRPr="00416A9A" w:rsidRDefault="00416A9A" w:rsidP="00416A9A">
            <w:pPr>
              <w:jc w:val="center"/>
              <w:rPr>
                <w:color w:val="000000"/>
              </w:rPr>
            </w:pPr>
            <w:r w:rsidRPr="00416A9A">
              <w:rPr>
                <w:color w:val="000000"/>
                <w:szCs w:val="22"/>
              </w:rPr>
              <w:t>Agente Financiador elabora as minutas contratuais e as encaminha</w:t>
            </w:r>
            <w:r w:rsidRPr="00416A9A">
              <w:rPr>
                <w:color w:val="000000"/>
                <w:szCs w:val="22"/>
              </w:rPr>
              <w:br/>
              <w:t>ao Ministério do Planejamento</w:t>
            </w:r>
          </w:p>
        </w:tc>
      </w:tr>
      <w:tr w:rsidR="00416A9A" w:rsidRPr="00416A9A" w:rsidTr="00416A9A">
        <w:trPr>
          <w:trHeight w:val="900"/>
          <w:jc w:val="center"/>
        </w:trPr>
        <w:tc>
          <w:tcPr>
            <w:tcW w:w="7400" w:type="dxa"/>
            <w:tcBorders>
              <w:top w:val="nil"/>
              <w:left w:val="single" w:sz="4" w:space="0" w:color="auto"/>
              <w:bottom w:val="single" w:sz="4" w:space="0" w:color="auto"/>
              <w:right w:val="single" w:sz="4" w:space="0" w:color="auto"/>
            </w:tcBorders>
            <w:shd w:val="clear" w:color="auto" w:fill="auto"/>
            <w:vAlign w:val="center"/>
            <w:hideMark/>
          </w:tcPr>
          <w:p w:rsidR="00416A9A" w:rsidRPr="00416A9A" w:rsidRDefault="00416A9A" w:rsidP="00416A9A">
            <w:pPr>
              <w:jc w:val="center"/>
              <w:rPr>
                <w:color w:val="000000"/>
              </w:rPr>
            </w:pPr>
            <w:r w:rsidRPr="00416A9A">
              <w:rPr>
                <w:color w:val="000000"/>
                <w:szCs w:val="22"/>
              </w:rPr>
              <w:t>Ministério do Planejamento as distribui à Secretaria do Tesouro Nacional (STN/MF), Procuradoria Geral da Fazenda Nacional (PGFN/MF), ao proponente mutuário e ao órgão executor</w:t>
            </w:r>
          </w:p>
        </w:tc>
      </w:tr>
      <w:tr w:rsidR="00416A9A" w:rsidRPr="00416A9A" w:rsidTr="00416A9A">
        <w:trPr>
          <w:trHeight w:val="600"/>
          <w:jc w:val="center"/>
        </w:trPr>
        <w:tc>
          <w:tcPr>
            <w:tcW w:w="7400" w:type="dxa"/>
            <w:tcBorders>
              <w:top w:val="nil"/>
              <w:left w:val="single" w:sz="4" w:space="0" w:color="auto"/>
              <w:bottom w:val="single" w:sz="4" w:space="0" w:color="auto"/>
              <w:right w:val="single" w:sz="4" w:space="0" w:color="auto"/>
            </w:tcBorders>
            <w:shd w:val="clear" w:color="auto" w:fill="auto"/>
            <w:vAlign w:val="center"/>
            <w:hideMark/>
          </w:tcPr>
          <w:p w:rsidR="00416A9A" w:rsidRPr="00416A9A" w:rsidRDefault="00416A9A" w:rsidP="00416A9A">
            <w:pPr>
              <w:jc w:val="center"/>
              <w:rPr>
                <w:color w:val="000000"/>
              </w:rPr>
            </w:pPr>
            <w:r w:rsidRPr="00416A9A">
              <w:rPr>
                <w:color w:val="000000"/>
                <w:szCs w:val="22"/>
              </w:rPr>
              <w:t>Cumpridas todas as formalidades exigidas: autorização do Senado Federal, assinatura do ministro da Fazenda e despacho com aval da União.</w:t>
            </w:r>
          </w:p>
        </w:tc>
      </w:tr>
      <w:tr w:rsidR="00416A9A" w:rsidRPr="00416A9A" w:rsidTr="00416A9A">
        <w:trPr>
          <w:trHeight w:val="600"/>
          <w:jc w:val="center"/>
        </w:trPr>
        <w:tc>
          <w:tcPr>
            <w:tcW w:w="7400" w:type="dxa"/>
            <w:tcBorders>
              <w:top w:val="nil"/>
              <w:left w:val="single" w:sz="4" w:space="0" w:color="auto"/>
              <w:bottom w:val="single" w:sz="4" w:space="0" w:color="auto"/>
              <w:right w:val="single" w:sz="4" w:space="0" w:color="auto"/>
            </w:tcBorders>
            <w:shd w:val="clear" w:color="auto" w:fill="auto"/>
            <w:vAlign w:val="center"/>
            <w:hideMark/>
          </w:tcPr>
          <w:p w:rsidR="00416A9A" w:rsidRPr="00416A9A" w:rsidRDefault="00416A9A" w:rsidP="009E1751">
            <w:pPr>
              <w:jc w:val="center"/>
              <w:rPr>
                <w:color w:val="000000"/>
              </w:rPr>
            </w:pPr>
            <w:r w:rsidRPr="00416A9A">
              <w:rPr>
                <w:color w:val="000000"/>
                <w:szCs w:val="22"/>
              </w:rPr>
              <w:t>O contrato de crédito externo pode então ser firmado pelas partes</w:t>
            </w:r>
          </w:p>
        </w:tc>
      </w:tr>
    </w:tbl>
    <w:p w:rsidR="00416A9A" w:rsidRPr="00416A9A" w:rsidRDefault="006C506A" w:rsidP="00416A9A">
      <w:pPr>
        <w:autoSpaceDE w:val="0"/>
        <w:autoSpaceDN w:val="0"/>
        <w:adjustRightInd w:val="0"/>
        <w:jc w:val="center"/>
        <w:rPr>
          <w:rFonts w:eastAsiaTheme="minorHAnsi"/>
          <w:lang w:eastAsia="en-US"/>
        </w:rPr>
      </w:pPr>
      <w:r>
        <w:rPr>
          <w:rFonts w:eastAsiaTheme="minorHAnsi"/>
          <w:sz w:val="20"/>
          <w:lang w:eastAsia="en-US"/>
        </w:rPr>
        <w:t xml:space="preserve">Adpatado pelo autor. </w:t>
      </w:r>
      <w:r w:rsidR="00416A9A" w:rsidRPr="00416A9A">
        <w:rPr>
          <w:rFonts w:eastAsiaTheme="minorHAnsi"/>
          <w:sz w:val="20"/>
          <w:lang w:eastAsia="en-US"/>
        </w:rPr>
        <w:t>Fonte Bessa Maia (2012)</w:t>
      </w:r>
    </w:p>
    <w:p w:rsidR="00785073" w:rsidRDefault="00322D93" w:rsidP="00322D93">
      <w:pPr>
        <w:spacing w:line="360" w:lineRule="auto"/>
        <w:ind w:firstLine="708"/>
        <w:jc w:val="both"/>
      </w:pPr>
      <w:r>
        <w:t>Spadale</w:t>
      </w:r>
      <w:r w:rsidR="00B16955">
        <w:rPr>
          <w:rStyle w:val="Refdenotaderodap"/>
        </w:rPr>
        <w:footnoteReference w:id="21"/>
      </w:r>
      <w:r>
        <w:t xml:space="preserve"> (2014) ao tratar da </w:t>
      </w:r>
      <w:r w:rsidR="00996AE1">
        <w:t>atuaçã</w:t>
      </w:r>
      <w:r>
        <w:t xml:space="preserve">o do estado do Rio de Janeiro </w:t>
      </w:r>
      <w:r w:rsidR="00B16955">
        <w:t xml:space="preserve">contratação de empréstimos internacionais </w:t>
      </w:r>
      <w:r>
        <w:t xml:space="preserve">no intervalo de 2007 – 2013 indica que foram estabelecidos 23 contratos de financiamento totalizando um volume de US$ 4,5 bilhões. No que tange a origem, indica quatro instituições: Banco Mundial (BIRD), Corporação Andina de Financiamento (CAF), Banco Interamericano de Desenvolvimento (BID) e Agência Francesa de Desenvolvimento (AFD). Já em termos de distribuição por instituição no total dos recursos apresenta que 61% tiveram origem do BIRD, 16% do CAF, 14% do BID e 9% do AFD. Por seu turno, quando observado os temas favorecidos pelos recursos a </w:t>
      </w:r>
      <w:r w:rsidR="00785073">
        <w:t xml:space="preserve">Mobilidade urbana </w:t>
      </w:r>
      <w:r>
        <w:t xml:space="preserve">contou com </w:t>
      </w:r>
      <w:r w:rsidR="00785073">
        <w:t xml:space="preserve">27%; </w:t>
      </w:r>
      <w:r>
        <w:t xml:space="preserve">a </w:t>
      </w:r>
      <w:r w:rsidR="00785073">
        <w:t xml:space="preserve">Gestão pública </w:t>
      </w:r>
      <w:r>
        <w:t xml:space="preserve">ficou com </w:t>
      </w:r>
      <w:r w:rsidR="00785073">
        <w:t xml:space="preserve">29%; </w:t>
      </w:r>
      <w:r>
        <w:t xml:space="preserve">a </w:t>
      </w:r>
      <w:r w:rsidR="00785073">
        <w:t xml:space="preserve">Infraestrutura </w:t>
      </w:r>
      <w:r>
        <w:t xml:space="preserve">dispôs de </w:t>
      </w:r>
      <w:r w:rsidR="00785073">
        <w:t xml:space="preserve">16%; </w:t>
      </w:r>
      <w:r>
        <w:t xml:space="preserve">o </w:t>
      </w:r>
      <w:r w:rsidR="00785073">
        <w:t xml:space="preserve">Desenvolvimento urbano </w:t>
      </w:r>
      <w:r>
        <w:t xml:space="preserve">teve </w:t>
      </w:r>
      <w:r w:rsidR="00785073">
        <w:t xml:space="preserve">11%; </w:t>
      </w:r>
      <w:r>
        <w:t xml:space="preserve">a área do </w:t>
      </w:r>
      <w:r w:rsidR="00785073">
        <w:t xml:space="preserve">Meio ambiente </w:t>
      </w:r>
      <w:r>
        <w:t xml:space="preserve">foi favorecida em </w:t>
      </w:r>
      <w:r w:rsidR="00785073">
        <w:t xml:space="preserve">10%; </w:t>
      </w:r>
      <w:r>
        <w:t xml:space="preserve">o </w:t>
      </w:r>
      <w:r w:rsidR="00785073">
        <w:t xml:space="preserve">Desenvolvimento rural </w:t>
      </w:r>
      <w:r>
        <w:t>em</w:t>
      </w:r>
      <w:r w:rsidR="00785073">
        <w:t xml:space="preserve"> 3%; </w:t>
      </w:r>
      <w:r>
        <w:t xml:space="preserve">o </w:t>
      </w:r>
      <w:r w:rsidR="00785073">
        <w:t xml:space="preserve">Turismo e Lazer </w:t>
      </w:r>
      <w:r>
        <w:t xml:space="preserve">contou com </w:t>
      </w:r>
      <w:r w:rsidR="00785073">
        <w:t xml:space="preserve">3%; </w:t>
      </w:r>
      <w:r>
        <w:t xml:space="preserve">e a área de </w:t>
      </w:r>
      <w:r w:rsidR="00785073">
        <w:t xml:space="preserve">Inclusão Social </w:t>
      </w:r>
      <w:r>
        <w:t>com</w:t>
      </w:r>
      <w:r w:rsidR="00785073">
        <w:t xml:space="preserve"> 2%</w:t>
      </w:r>
      <w:r>
        <w:t xml:space="preserve"> </w:t>
      </w:r>
      <w:r w:rsidR="00785073">
        <w:t>(SPADALE, 2014)</w:t>
      </w:r>
      <w:r>
        <w:t>.</w:t>
      </w:r>
    </w:p>
    <w:p w:rsidR="00FF0483" w:rsidRDefault="00FF0483" w:rsidP="00701766">
      <w:pPr>
        <w:jc w:val="both"/>
      </w:pPr>
    </w:p>
    <w:p w:rsidR="00DF60F9" w:rsidRPr="0086015B" w:rsidRDefault="00AC39B1" w:rsidP="00DF60F9">
      <w:pPr>
        <w:jc w:val="both"/>
        <w:rPr>
          <w:b/>
        </w:rPr>
      </w:pPr>
      <w:r>
        <w:rPr>
          <w:b/>
        </w:rPr>
        <w:t xml:space="preserve">3.2.2 </w:t>
      </w:r>
      <w:r w:rsidR="00DF60F9" w:rsidRPr="0086015B">
        <w:rPr>
          <w:b/>
        </w:rPr>
        <w:t>Capacidade de Coordenação</w:t>
      </w:r>
    </w:p>
    <w:p w:rsidR="00DF60F9" w:rsidRDefault="00DF60F9" w:rsidP="00DF60F9">
      <w:pPr>
        <w:jc w:val="both"/>
      </w:pPr>
    </w:p>
    <w:p w:rsidR="00DF60F9" w:rsidRPr="00DA439E" w:rsidRDefault="00DF60F9" w:rsidP="00DF60F9">
      <w:pPr>
        <w:pStyle w:val="PargrafodaLista"/>
        <w:numPr>
          <w:ilvl w:val="0"/>
          <w:numId w:val="32"/>
        </w:numPr>
        <w:jc w:val="both"/>
        <w:rPr>
          <w:rFonts w:ascii="Times New Roman" w:hAnsi="Times New Roman"/>
          <w:sz w:val="24"/>
        </w:rPr>
      </w:pPr>
      <w:r w:rsidRPr="00DA439E">
        <w:rPr>
          <w:rFonts w:ascii="Times New Roman" w:hAnsi="Times New Roman"/>
          <w:b/>
          <w:bCs/>
          <w:color w:val="000000"/>
          <w:sz w:val="24"/>
        </w:rPr>
        <w:t>Instrumentos legais e normativos voltados à distribuição de competências</w:t>
      </w:r>
    </w:p>
    <w:p w:rsidR="00701766" w:rsidRDefault="00701766" w:rsidP="00701766">
      <w:pPr>
        <w:spacing w:line="360" w:lineRule="auto"/>
        <w:ind w:firstLine="708"/>
        <w:jc w:val="both"/>
        <w:rPr>
          <w:color w:val="000000"/>
          <w:shd w:val="clear" w:color="auto" w:fill="FFFFFF"/>
        </w:rPr>
      </w:pPr>
      <w:r w:rsidRPr="00D410EC">
        <w:rPr>
          <w:color w:val="000000"/>
        </w:rPr>
        <w:t xml:space="preserve">A eleição de 1986 definiria, para além dos governadores, os deputados e senadores que, somados aos senadores eleitos no pleito quatro anos antes, se debruçariam sobre o projeto de erigir a nova constituição brasileira, aprovada no dia 5 de outubro de 1988. Neste contexto, o processo de descentralização ressoava como uma resposta a centralização característica do governo militar que a antecedera.  Sendo </w:t>
      </w:r>
      <w:r w:rsidRPr="00D410EC">
        <w:rPr>
          <w:color w:val="000000"/>
        </w:rPr>
        <w:lastRenderedPageBreak/>
        <w:t>assim, em seu Título III (Da organização do Estado), notadamente o art.18 estabelece que “</w:t>
      </w:r>
      <w:r w:rsidRPr="00D410EC">
        <w:rPr>
          <w:color w:val="000000"/>
          <w:shd w:val="clear" w:color="auto" w:fill="FFFFFF"/>
        </w:rPr>
        <w:t>A organização político-administrativa da República Federativa do Brasil compreende a União, os Estados, o Distrito Federal e os Municípios, todos autônomos, nos termos desta Constituição”. Diante do artigo, a constituição estipula a organização a partir de um “federalismo trino” na medida em que congrega também os governos municipais. No mesmo Título, se observa a definição das competências privativas e compartilhadas de cada esfera governamental, as diretrizes nacionais tratam das relações com estados e</w:t>
      </w:r>
      <w:r>
        <w:rPr>
          <w:color w:val="000000"/>
          <w:shd w:val="clear" w:color="auto" w:fill="FFFFFF"/>
        </w:rPr>
        <w:t>strangeiros,</w:t>
      </w:r>
      <w:r w:rsidRPr="00D410EC">
        <w:rPr>
          <w:color w:val="000000"/>
          <w:shd w:val="clear" w:color="auto" w:fill="FFFFFF"/>
        </w:rPr>
        <w:t xml:space="preserve"> a participação em organismos internacionais; a defesa nacional; a emissão de moeda; a declaração do estado de sítio e intervenção federal, bem como os serviços de transporte aéreo, hidroviário e ferroviário, as telecomunicações, as atividades nucleares com fins pacíficos, entre outras. (Art. 21 CF88). </w:t>
      </w:r>
    </w:p>
    <w:p w:rsidR="00701766" w:rsidRDefault="00701766" w:rsidP="00701766">
      <w:pPr>
        <w:spacing w:line="360" w:lineRule="auto"/>
        <w:ind w:firstLine="708"/>
        <w:jc w:val="both"/>
        <w:rPr>
          <w:color w:val="000000"/>
        </w:rPr>
      </w:pPr>
      <w:r w:rsidRPr="006F4884">
        <w:rPr>
          <w:color w:val="000000"/>
        </w:rPr>
        <w:t>R</w:t>
      </w:r>
      <w:r>
        <w:rPr>
          <w:color w:val="000000"/>
        </w:rPr>
        <w:t>odrigues (2008) defende que “a c</w:t>
      </w:r>
      <w:r w:rsidRPr="006F4884">
        <w:rPr>
          <w:color w:val="000000"/>
        </w:rPr>
        <w:t xml:space="preserve">onstituição não é totalmente silenciosa sobre o tema na ótica federativa”. Não obstante, o autor aponta que, por meio do art. 52, no inciso V, ao "autorizar operações externas de natureza financeira, de interesse da União, dos Estados, do Distrito Federal, dos Territórios e dos Municípios" o quadro normativo abre espaço para as negociações diretas dos Estados federados e municípios com organismos econômicos internacionais, como o BIRD e o BID, ou próprio Programa das Nações Unidas para o Desenvolvimento - PNUD. (RODRIGUES, 2008: 13). Segundo o autor, “por mais que a diplomacia federativa ocorra de forma cada vez mais significativa nos estados federados, pode-se dizer que esta permanece em certo </w:t>
      </w:r>
      <w:r w:rsidRPr="006F4884">
        <w:rPr>
          <w:bCs/>
          <w:i/>
          <w:color w:val="000000"/>
        </w:rPr>
        <w:t>“limbo” jurídico</w:t>
      </w:r>
      <w:r w:rsidRPr="006F4884">
        <w:rPr>
          <w:color w:val="000000"/>
        </w:rPr>
        <w:t xml:space="preserve">.” (RODRIGUES, 2008: 13). </w:t>
      </w:r>
      <w:r w:rsidRPr="00D410EC">
        <w:rPr>
          <w:color w:val="000000"/>
        </w:rPr>
        <w:t>Desta maneira, o acordo que um estado federado ou município ambicione concluir com Estado estrangeiro, deverá ser feito por intermédio da União, por meio do Ministério das Relações Exteriores. Contudo, segundo Rodrigues (2008):</w:t>
      </w:r>
    </w:p>
    <w:p w:rsidR="00701766" w:rsidRPr="00D410EC" w:rsidRDefault="00701766" w:rsidP="00701766">
      <w:pPr>
        <w:ind w:left="2340"/>
        <w:jc w:val="both"/>
        <w:rPr>
          <w:sz w:val="20"/>
          <w:szCs w:val="20"/>
        </w:rPr>
      </w:pPr>
      <w:r w:rsidRPr="00D410EC">
        <w:rPr>
          <w:color w:val="000000"/>
          <w:sz w:val="20"/>
          <w:szCs w:val="20"/>
          <w:shd w:val="clear" w:color="auto" w:fill="FFFFFF"/>
        </w:rPr>
        <w:t>Há um entendimento - e uma prática política - de que os governos subnacionais podem atuar internacionalmente no âmbito de sua autonomia federativa, ou seja, no campo balizado de suas competências constitucionais expressas, sendo elas exclusivas ou comuns, desde que não contrariem o interesse nacional ou invadam a seara da alta política (</w:t>
      </w:r>
      <w:r w:rsidRPr="00D410EC">
        <w:rPr>
          <w:i/>
          <w:iCs/>
          <w:color w:val="000000"/>
          <w:sz w:val="20"/>
          <w:szCs w:val="20"/>
          <w:shd w:val="clear" w:color="auto" w:fill="FFFFFF"/>
        </w:rPr>
        <w:t>high politics</w:t>
      </w:r>
      <w:r w:rsidRPr="00D410EC">
        <w:rPr>
          <w:color w:val="000000"/>
          <w:sz w:val="20"/>
          <w:szCs w:val="20"/>
          <w:shd w:val="clear" w:color="auto" w:fill="FFFFFF"/>
        </w:rPr>
        <w:t>), ou seja, o núcleo duro das relações internacionais do Estado. (</w:t>
      </w:r>
      <w:r w:rsidRPr="00D410EC">
        <w:rPr>
          <w:color w:val="000000"/>
          <w:sz w:val="20"/>
          <w:szCs w:val="20"/>
        </w:rPr>
        <w:t>RODRIGUES, 2008 :12)</w:t>
      </w:r>
    </w:p>
    <w:p w:rsidR="00701766" w:rsidRDefault="00701766" w:rsidP="00701766">
      <w:pPr>
        <w:ind w:firstLine="708"/>
        <w:jc w:val="both"/>
        <w:rPr>
          <w:rFonts w:ascii="Calibri" w:hAnsi="Calibri" w:cs="Calibri"/>
          <w:color w:val="000000"/>
        </w:rPr>
      </w:pPr>
    </w:p>
    <w:p w:rsidR="00701766" w:rsidRPr="004D3E7C" w:rsidRDefault="00701766" w:rsidP="004D3E7C">
      <w:pPr>
        <w:spacing w:line="360" w:lineRule="auto"/>
        <w:ind w:firstLine="708"/>
        <w:jc w:val="both"/>
      </w:pPr>
      <w:r w:rsidRPr="004D3E7C">
        <w:rPr>
          <w:color w:val="000000"/>
        </w:rPr>
        <w:t>Cabe pontuar que o primeiro movimento que objetivava constitucionalizar a ação paradiplomática no Brasil, teve lugar na Câmara Federal ocorreu em 2005.</w:t>
      </w:r>
    </w:p>
    <w:p w:rsidR="00701766" w:rsidRPr="004D3E7C" w:rsidRDefault="00701766" w:rsidP="00701766">
      <w:pPr>
        <w:ind w:left="2340"/>
        <w:jc w:val="both"/>
      </w:pPr>
      <w:r w:rsidRPr="004D3E7C">
        <w:rPr>
          <w:color w:val="000000"/>
          <w:sz w:val="20"/>
          <w:szCs w:val="20"/>
        </w:rPr>
        <w:t xml:space="preserve">Curiosamente, mesmo sem previsão constitucional, a paradiplomacia tem sido praticada diariamente, sem necessariamente afrontar o Estado de direito. Exemplos concretos de atuação estadual e municipal ocorrem no âmbito das competências comuns, definidas no art. 23 da CF (que inclui os </w:t>
      </w:r>
      <w:r w:rsidRPr="004D3E7C">
        <w:rPr>
          <w:color w:val="000000"/>
          <w:sz w:val="20"/>
          <w:szCs w:val="20"/>
        </w:rPr>
        <w:lastRenderedPageBreak/>
        <w:t>temas saúde; patrimônio histórico, cultural e paisagístico; cultura, educação e ciência; meio ambiente; habitação; e combate à pobreza). (RODRIGUES, 2008: 15).</w:t>
      </w:r>
    </w:p>
    <w:p w:rsidR="00701766" w:rsidRDefault="00701766" w:rsidP="00701766">
      <w:pPr>
        <w:jc w:val="both"/>
        <w:rPr>
          <w:b/>
          <w:bCs/>
          <w:color w:val="000000"/>
        </w:rPr>
      </w:pPr>
    </w:p>
    <w:p w:rsidR="006870A8" w:rsidRPr="00785073" w:rsidRDefault="006870A8" w:rsidP="00785073">
      <w:pPr>
        <w:pStyle w:val="PargrafodaLista"/>
        <w:numPr>
          <w:ilvl w:val="0"/>
          <w:numId w:val="32"/>
        </w:numPr>
        <w:jc w:val="both"/>
        <w:rPr>
          <w:rFonts w:ascii="Times New Roman" w:hAnsi="Times New Roman"/>
          <w:b/>
          <w:sz w:val="24"/>
        </w:rPr>
      </w:pPr>
      <w:r w:rsidRPr="00785073">
        <w:rPr>
          <w:rFonts w:ascii="Times New Roman" w:hAnsi="Times New Roman"/>
          <w:b/>
          <w:sz w:val="24"/>
        </w:rPr>
        <w:t>Instâncias Federativas e mecanismos de negociação intergovernamental</w:t>
      </w:r>
    </w:p>
    <w:p w:rsidR="006870A8" w:rsidRDefault="006870A8" w:rsidP="004B6AD8">
      <w:pPr>
        <w:spacing w:line="360" w:lineRule="auto"/>
        <w:ind w:firstLine="708"/>
        <w:jc w:val="both"/>
        <w:rPr>
          <w:sz w:val="23"/>
          <w:szCs w:val="23"/>
        </w:rPr>
      </w:pPr>
      <w:r>
        <w:rPr>
          <w:sz w:val="23"/>
          <w:szCs w:val="23"/>
        </w:rPr>
        <w:t xml:space="preserve">Segundo Miklos (2010) </w:t>
      </w:r>
      <w:r w:rsidR="0055546D">
        <w:rPr>
          <w:sz w:val="23"/>
          <w:szCs w:val="23"/>
        </w:rPr>
        <w:t>a criação da Assessoria de Relações Federativas (ARF), no ano de 1997, vinculada ao Ministério das Relações Exteriores (MRE) marcaria trajetória da ateção do governo federal a ação internacional das unidades subnacionais. O papel do órgão estaria ligado à equalização da relação entre os diferentes níveis de governo. Na esteira desse processo, ficariam ligados a ARF os Escritórios de Representação do MRE nas distintas regiões do país. Nesse cenário, é papel do</w:t>
      </w:r>
      <w:r w:rsidR="00E00D1E">
        <w:rPr>
          <w:sz w:val="23"/>
          <w:szCs w:val="23"/>
        </w:rPr>
        <w:t>s</w:t>
      </w:r>
      <w:r w:rsidR="0055546D">
        <w:rPr>
          <w:sz w:val="23"/>
          <w:szCs w:val="23"/>
        </w:rPr>
        <w:t xml:space="preserve"> Escritórios a atenção e a transmissão das demandas dos estados e municípios ao Ministério</w:t>
      </w:r>
      <w:r w:rsidR="00E00D1E">
        <w:rPr>
          <w:sz w:val="23"/>
          <w:szCs w:val="23"/>
        </w:rPr>
        <w:t xml:space="preserve"> </w:t>
      </w:r>
      <w:r>
        <w:rPr>
          <w:sz w:val="23"/>
          <w:szCs w:val="23"/>
        </w:rPr>
        <w:t>(</w:t>
      </w:r>
      <w:r w:rsidR="00E00D1E">
        <w:rPr>
          <w:sz w:val="23"/>
          <w:szCs w:val="23"/>
        </w:rPr>
        <w:t>MIKLOS</w:t>
      </w:r>
      <w:r>
        <w:rPr>
          <w:sz w:val="23"/>
          <w:szCs w:val="23"/>
        </w:rPr>
        <w:t>, 2010)</w:t>
      </w:r>
      <w:r w:rsidR="00E00D1E">
        <w:rPr>
          <w:sz w:val="23"/>
          <w:szCs w:val="23"/>
        </w:rPr>
        <w:t>.</w:t>
      </w:r>
      <w:r>
        <w:rPr>
          <w:sz w:val="23"/>
          <w:szCs w:val="23"/>
        </w:rPr>
        <w:t xml:space="preserve"> </w:t>
      </w:r>
    </w:p>
    <w:p w:rsidR="00C33471" w:rsidRDefault="00E00D1E" w:rsidP="004D3E7C">
      <w:pPr>
        <w:spacing w:line="360" w:lineRule="auto"/>
        <w:jc w:val="both"/>
        <w:rPr>
          <w:sz w:val="23"/>
          <w:szCs w:val="23"/>
        </w:rPr>
      </w:pPr>
      <w:r>
        <w:rPr>
          <w:sz w:val="23"/>
          <w:szCs w:val="23"/>
        </w:rPr>
        <w:tab/>
      </w:r>
      <w:r w:rsidR="005F1C69">
        <w:rPr>
          <w:sz w:val="23"/>
          <w:szCs w:val="23"/>
        </w:rPr>
        <w:t>Para a autora a continuidade desses esforços de um maior diálogo federativo resultaria no estabelecimento, em 2003, já durante o governo do Presidente Luis Inácio Lula da Silva, a modificação da ARF em Assessoria Especial de Assuntos Federativos e Parlamentares (AFEPA). A modificação teria um impacto também no surgimento da  Subchefia de Assuntos Federativos, nesse caso, dentro da Secretaria de Relações Institucionais vinculada à Presidência da República (SAF).</w:t>
      </w:r>
      <w:r w:rsidR="00C33471">
        <w:rPr>
          <w:sz w:val="23"/>
          <w:szCs w:val="23"/>
        </w:rPr>
        <w:t xml:space="preserve"> Em termos de propósitos, os novos espaços de estabelecimento de relações federativos preservavam os objetivos das primeiras iniciativas, ou seja, “implementar uma diplomacia federativa e cooperativa, assessorando os entes subnacionais e aproximando-os do governo federal” (MIKLOS, 2010).  Para Mariano e Mariano (2008: 110), ainda que os diferentes níveis de governo possam contar com essas iniciativas, a intensidade do diálogo entre esses atores </w:t>
      </w:r>
      <w:r w:rsidR="004D3E7C">
        <w:rPr>
          <w:sz w:val="23"/>
          <w:szCs w:val="23"/>
        </w:rPr>
        <w:t>parece necessitar de maior aprofundamento dado ao fato de se resumirem a troca de infomrações quanto à iniciativa adotadas pelos entes subnacionais.</w:t>
      </w:r>
    </w:p>
    <w:p w:rsidR="002D3D08" w:rsidRDefault="002D3D08" w:rsidP="00701766">
      <w:pPr>
        <w:jc w:val="both"/>
        <w:rPr>
          <w:sz w:val="23"/>
          <w:szCs w:val="23"/>
        </w:rPr>
      </w:pPr>
    </w:p>
    <w:p w:rsidR="00701766" w:rsidRPr="00912D6A" w:rsidRDefault="00701766" w:rsidP="00912D6A">
      <w:pPr>
        <w:pStyle w:val="PargrafodaLista"/>
        <w:numPr>
          <w:ilvl w:val="0"/>
          <w:numId w:val="32"/>
        </w:numPr>
        <w:jc w:val="both"/>
        <w:rPr>
          <w:rFonts w:ascii="Times New Roman" w:hAnsi="Times New Roman"/>
          <w:b/>
          <w:bCs/>
          <w:color w:val="000000"/>
          <w:sz w:val="24"/>
        </w:rPr>
      </w:pPr>
      <w:r w:rsidRPr="00912D6A">
        <w:rPr>
          <w:rFonts w:ascii="Times New Roman" w:hAnsi="Times New Roman"/>
          <w:b/>
          <w:bCs/>
          <w:color w:val="000000"/>
          <w:sz w:val="24"/>
        </w:rPr>
        <w:t>Papel coordenador/indutor do governo federal/estadual</w:t>
      </w:r>
    </w:p>
    <w:p w:rsidR="002203BE" w:rsidRPr="0040454A" w:rsidRDefault="0040454A" w:rsidP="0040454A">
      <w:pPr>
        <w:spacing w:line="360" w:lineRule="auto"/>
        <w:ind w:firstLine="708"/>
        <w:jc w:val="both"/>
      </w:pPr>
      <w:r w:rsidRPr="0040454A">
        <w:rPr>
          <w:rFonts w:eastAsiaTheme="minorHAnsi"/>
        </w:rPr>
        <w:t>Sérgio de Oliveira Cabral Santos Filho inicia sua carreira pública n</w:t>
      </w:r>
      <w:r w:rsidRPr="0040454A">
        <w:t xml:space="preserve">a diretoria de operações da Companhia de Turismo do Estado do Rio de Janeiro (TurisRio) em 1987, no governo Moreira Franco (1987-1991). </w:t>
      </w:r>
      <w:r>
        <w:t xml:space="preserve">Com 12 mil votos se elege pela primeira vez a deputado estadual pelo PSDB em 1990. </w:t>
      </w:r>
      <w:r w:rsidR="0004751A">
        <w:t xml:space="preserve">Nessa legislatura se tornaria líder do partido na Assembleia legislativa e se destacaria pela defesa de temas relacionados a terceira idade. Cabral é reeleito em 1994 como o maior número de votos entre os candidatos e nessa legislatura torna se presidente da Assembleia Legislativa do Rio de Janeiro (Alerj). Derrotado na eleição a prefeitura do Rio de Janeiro em 1996 é reconduzido a presidencia da Alerj em 1997 e no ano seguinte conquistaria a reeleição para seu </w:t>
      </w:r>
      <w:r w:rsidR="0004751A" w:rsidRPr="00C80840">
        <w:lastRenderedPageBreak/>
        <w:t xml:space="preserve">terceiro mandato de deputado. Em 1999 Sérgio Cabral retornaria ao PMDB partido pelo qual se elegeria Senador em 2002. Na sequência, </w:t>
      </w:r>
      <w:r w:rsidR="005C17C1" w:rsidRPr="00C80840">
        <w:t xml:space="preserve">nas eleições de 2007 </w:t>
      </w:r>
      <w:r w:rsidR="0004751A" w:rsidRPr="00C80840">
        <w:t xml:space="preserve">com apoio de </w:t>
      </w:r>
      <w:r w:rsidR="0004751A" w:rsidRPr="0040454A">
        <w:rPr>
          <w:szCs w:val="20"/>
        </w:rPr>
        <w:t>Anthony e Rosinha Garotinho</w:t>
      </w:r>
      <w:r w:rsidR="0004751A" w:rsidRPr="00C80840">
        <w:rPr>
          <w:szCs w:val="20"/>
        </w:rPr>
        <w:t xml:space="preserve"> foi eleito governador do Rio de Janeiro tendo como vice – governador </w:t>
      </w:r>
      <w:r w:rsidR="0004751A" w:rsidRPr="0040454A">
        <w:rPr>
          <w:szCs w:val="20"/>
        </w:rPr>
        <w:t>Luís Fernando</w:t>
      </w:r>
      <w:r w:rsidR="0004751A" w:rsidRPr="00C80840">
        <w:rPr>
          <w:szCs w:val="20"/>
        </w:rPr>
        <w:t xml:space="preserve"> Pez</w:t>
      </w:r>
      <w:r w:rsidR="005C17C1" w:rsidRPr="00C80840">
        <w:rPr>
          <w:szCs w:val="20"/>
        </w:rPr>
        <w:t>ão cargo pelo qual seria reeleito em 2010. Com um segundo mandato marcado por polêmicas</w:t>
      </w:r>
      <w:r w:rsidR="00C66F2D" w:rsidRPr="00C80840">
        <w:rPr>
          <w:szCs w:val="20"/>
        </w:rPr>
        <w:t xml:space="preserve"> e desgastes políticos renunciaria ao cargo no di a 03 de abril de 2014 sob a alegação de que se candidataria a uma vaga no Senado Federal. (CPDOC, ACERVO)</w:t>
      </w:r>
      <w:r w:rsidR="00C66F2D">
        <w:rPr>
          <w:color w:val="1A3037"/>
          <w:szCs w:val="20"/>
        </w:rPr>
        <w:t xml:space="preserve"> </w:t>
      </w:r>
    </w:p>
    <w:tbl>
      <w:tblPr>
        <w:tblW w:w="5742" w:type="dxa"/>
        <w:jc w:val="center"/>
        <w:tblInd w:w="53" w:type="dxa"/>
        <w:tblCellMar>
          <w:left w:w="70" w:type="dxa"/>
          <w:right w:w="70" w:type="dxa"/>
        </w:tblCellMar>
        <w:tblLook w:val="04A0"/>
      </w:tblPr>
      <w:tblGrid>
        <w:gridCol w:w="620"/>
        <w:gridCol w:w="1409"/>
        <w:gridCol w:w="2586"/>
        <w:gridCol w:w="1127"/>
      </w:tblGrid>
      <w:tr w:rsidR="00C740CF" w:rsidRPr="007E30DB" w:rsidTr="009A060E">
        <w:trPr>
          <w:trHeight w:val="300"/>
          <w:jc w:val="center"/>
        </w:trPr>
        <w:tc>
          <w:tcPr>
            <w:tcW w:w="5742" w:type="dxa"/>
            <w:gridSpan w:val="4"/>
            <w:tcBorders>
              <w:top w:val="nil"/>
              <w:left w:val="nil"/>
              <w:bottom w:val="single" w:sz="4" w:space="0" w:color="auto"/>
              <w:right w:val="nil"/>
            </w:tcBorders>
            <w:shd w:val="clear" w:color="auto" w:fill="auto"/>
            <w:noWrap/>
            <w:vAlign w:val="center"/>
            <w:hideMark/>
          </w:tcPr>
          <w:p w:rsidR="00C740CF" w:rsidRPr="007E30DB" w:rsidRDefault="0040454A" w:rsidP="00C740CF">
            <w:pPr>
              <w:jc w:val="center"/>
              <w:rPr>
                <w:b/>
                <w:bCs/>
                <w:color w:val="000000"/>
              </w:rPr>
            </w:pPr>
            <w:r w:rsidRPr="0040454A">
              <w:rPr>
                <w:rFonts w:ascii="Tahoma" w:hAnsi="Tahoma" w:cs="Tahoma"/>
                <w:color w:val="1A3037"/>
                <w:sz w:val="20"/>
                <w:szCs w:val="20"/>
              </w:rPr>
              <w:t xml:space="preserve"> </w:t>
            </w:r>
            <w:r w:rsidR="00C740CF" w:rsidRPr="007E30DB">
              <w:rPr>
                <w:b/>
                <w:bCs/>
                <w:color w:val="000000"/>
                <w:szCs w:val="22"/>
              </w:rPr>
              <w:t xml:space="preserve">Quadro resumo 1: Trajetória </w:t>
            </w:r>
            <w:r w:rsidR="00C740CF">
              <w:rPr>
                <w:b/>
                <w:bCs/>
                <w:color w:val="000000"/>
                <w:szCs w:val="22"/>
              </w:rPr>
              <w:t>–</w:t>
            </w:r>
            <w:r w:rsidR="00C740CF" w:rsidRPr="007E30DB">
              <w:rPr>
                <w:b/>
                <w:bCs/>
                <w:color w:val="000000"/>
                <w:szCs w:val="22"/>
              </w:rPr>
              <w:t xml:space="preserve"> </w:t>
            </w:r>
            <w:r w:rsidR="00C740CF">
              <w:rPr>
                <w:b/>
                <w:bCs/>
                <w:color w:val="000000"/>
                <w:szCs w:val="22"/>
              </w:rPr>
              <w:t>Sérgio Cabral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Ano</w:t>
            </w:r>
          </w:p>
        </w:tc>
        <w:tc>
          <w:tcPr>
            <w:tcW w:w="1409"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Nro de cargo</w:t>
            </w:r>
          </w:p>
        </w:tc>
        <w:tc>
          <w:tcPr>
            <w:tcW w:w="2586"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Cargo</w:t>
            </w:r>
          </w:p>
        </w:tc>
        <w:tc>
          <w:tcPr>
            <w:tcW w:w="1127"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Nível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AF5362">
            <w:pPr>
              <w:jc w:val="center"/>
              <w:rPr>
                <w:color w:val="000000"/>
              </w:rPr>
            </w:pPr>
            <w:r w:rsidRPr="007E30DB">
              <w:rPr>
                <w:color w:val="000000"/>
                <w:szCs w:val="22"/>
              </w:rPr>
              <w:t>199</w:t>
            </w:r>
            <w:r w:rsidR="00AF5362">
              <w:rPr>
                <w:color w:val="000000"/>
                <w:szCs w:val="22"/>
              </w:rPr>
              <w:t>0</w:t>
            </w:r>
          </w:p>
        </w:tc>
        <w:tc>
          <w:tcPr>
            <w:tcW w:w="1409"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1</w:t>
            </w:r>
          </w:p>
        </w:tc>
        <w:tc>
          <w:tcPr>
            <w:tcW w:w="2586" w:type="dxa"/>
            <w:tcBorders>
              <w:top w:val="nil"/>
              <w:left w:val="nil"/>
              <w:bottom w:val="nil"/>
              <w:right w:val="nil"/>
            </w:tcBorders>
            <w:shd w:val="clear" w:color="auto" w:fill="auto"/>
            <w:noWrap/>
            <w:vAlign w:val="center"/>
            <w:hideMark/>
          </w:tcPr>
          <w:p w:rsidR="00C740CF" w:rsidRPr="007E30DB" w:rsidRDefault="00C740CF" w:rsidP="00AF5362">
            <w:pPr>
              <w:jc w:val="center"/>
              <w:rPr>
                <w:color w:val="000000"/>
              </w:rPr>
            </w:pPr>
            <w:r w:rsidRPr="007E30DB">
              <w:rPr>
                <w:color w:val="000000"/>
                <w:szCs w:val="22"/>
              </w:rPr>
              <w:t xml:space="preserve">Deputado </w:t>
            </w:r>
            <w:r w:rsidR="00AF5362">
              <w:rPr>
                <w:color w:val="000000"/>
                <w:szCs w:val="22"/>
              </w:rPr>
              <w:t>Estadual</w:t>
            </w:r>
          </w:p>
        </w:tc>
        <w:tc>
          <w:tcPr>
            <w:tcW w:w="1127"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rPr>
              <w:t>Estadual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199</w:t>
            </w:r>
            <w:r w:rsidR="00AF5362">
              <w:rPr>
                <w:color w:val="000000"/>
                <w:szCs w:val="22"/>
              </w:rPr>
              <w:t>4</w:t>
            </w:r>
          </w:p>
        </w:tc>
        <w:tc>
          <w:tcPr>
            <w:tcW w:w="1409"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2</w:t>
            </w:r>
          </w:p>
        </w:tc>
        <w:tc>
          <w:tcPr>
            <w:tcW w:w="2586" w:type="dxa"/>
            <w:tcBorders>
              <w:top w:val="nil"/>
              <w:left w:val="nil"/>
              <w:bottom w:val="nil"/>
              <w:right w:val="nil"/>
            </w:tcBorders>
            <w:shd w:val="clear" w:color="auto" w:fill="auto"/>
            <w:noWrap/>
            <w:vAlign w:val="center"/>
            <w:hideMark/>
          </w:tcPr>
          <w:p w:rsidR="00C740CF" w:rsidRPr="007E30DB" w:rsidRDefault="00C740CF" w:rsidP="00AF5362">
            <w:pPr>
              <w:jc w:val="center"/>
              <w:rPr>
                <w:color w:val="000000"/>
              </w:rPr>
            </w:pPr>
            <w:r w:rsidRPr="007E30DB">
              <w:rPr>
                <w:color w:val="000000"/>
                <w:szCs w:val="22"/>
              </w:rPr>
              <w:t xml:space="preserve">Deputado </w:t>
            </w:r>
            <w:r w:rsidR="00AF5362">
              <w:rPr>
                <w:color w:val="000000"/>
                <w:szCs w:val="22"/>
              </w:rPr>
              <w:t>Estadual</w:t>
            </w:r>
          </w:p>
        </w:tc>
        <w:tc>
          <w:tcPr>
            <w:tcW w:w="1127" w:type="dxa"/>
            <w:tcBorders>
              <w:top w:val="nil"/>
              <w:left w:val="nil"/>
              <w:bottom w:val="nil"/>
              <w:right w:val="nil"/>
            </w:tcBorders>
            <w:shd w:val="clear" w:color="auto" w:fill="auto"/>
            <w:noWrap/>
            <w:vAlign w:val="center"/>
            <w:hideMark/>
          </w:tcPr>
          <w:p w:rsidR="00C740CF" w:rsidRPr="007E30DB" w:rsidRDefault="00AF5362" w:rsidP="00AF5362">
            <w:pPr>
              <w:jc w:val="center"/>
              <w:rPr>
                <w:color w:val="000000"/>
              </w:rPr>
            </w:pPr>
            <w:r>
              <w:rPr>
                <w:color w:val="000000"/>
                <w:szCs w:val="22"/>
              </w:rPr>
              <w:t>Estadual</w:t>
            </w:r>
          </w:p>
        </w:tc>
      </w:tr>
      <w:tr w:rsidR="00AF5362" w:rsidRPr="007E30DB" w:rsidTr="009A060E">
        <w:trPr>
          <w:trHeight w:val="300"/>
          <w:jc w:val="center"/>
        </w:trPr>
        <w:tc>
          <w:tcPr>
            <w:tcW w:w="620" w:type="dxa"/>
            <w:tcBorders>
              <w:top w:val="nil"/>
              <w:left w:val="nil"/>
              <w:bottom w:val="nil"/>
              <w:right w:val="nil"/>
            </w:tcBorders>
            <w:shd w:val="clear" w:color="auto" w:fill="auto"/>
            <w:noWrap/>
            <w:vAlign w:val="center"/>
            <w:hideMark/>
          </w:tcPr>
          <w:p w:rsidR="00AF5362" w:rsidRPr="007E30DB" w:rsidRDefault="00AF5362" w:rsidP="009A060E">
            <w:pPr>
              <w:jc w:val="center"/>
              <w:rPr>
                <w:color w:val="000000"/>
              </w:rPr>
            </w:pPr>
            <w:r>
              <w:rPr>
                <w:color w:val="000000"/>
                <w:szCs w:val="22"/>
              </w:rPr>
              <w:t>1998</w:t>
            </w:r>
          </w:p>
        </w:tc>
        <w:tc>
          <w:tcPr>
            <w:tcW w:w="1409" w:type="dxa"/>
            <w:tcBorders>
              <w:top w:val="nil"/>
              <w:left w:val="nil"/>
              <w:bottom w:val="nil"/>
              <w:right w:val="nil"/>
            </w:tcBorders>
            <w:shd w:val="clear" w:color="auto" w:fill="auto"/>
            <w:noWrap/>
            <w:vAlign w:val="center"/>
            <w:hideMark/>
          </w:tcPr>
          <w:p w:rsidR="00AF5362" w:rsidRPr="007E30DB" w:rsidRDefault="00AF5362" w:rsidP="009A060E">
            <w:pPr>
              <w:jc w:val="center"/>
              <w:rPr>
                <w:color w:val="000000"/>
              </w:rPr>
            </w:pPr>
            <w:r>
              <w:rPr>
                <w:color w:val="000000"/>
                <w:szCs w:val="22"/>
              </w:rPr>
              <w:t>3</w:t>
            </w:r>
          </w:p>
        </w:tc>
        <w:tc>
          <w:tcPr>
            <w:tcW w:w="2586" w:type="dxa"/>
            <w:tcBorders>
              <w:top w:val="nil"/>
              <w:left w:val="nil"/>
              <w:bottom w:val="nil"/>
              <w:right w:val="nil"/>
            </w:tcBorders>
            <w:shd w:val="clear" w:color="auto" w:fill="auto"/>
            <w:noWrap/>
            <w:vAlign w:val="center"/>
            <w:hideMark/>
          </w:tcPr>
          <w:p w:rsidR="00AF5362" w:rsidRPr="007E30DB" w:rsidRDefault="00AF5362" w:rsidP="009A060E">
            <w:pPr>
              <w:jc w:val="center"/>
              <w:rPr>
                <w:color w:val="000000"/>
              </w:rPr>
            </w:pPr>
            <w:r w:rsidRPr="007E30DB">
              <w:rPr>
                <w:color w:val="000000"/>
                <w:szCs w:val="22"/>
              </w:rPr>
              <w:t xml:space="preserve">Deputado </w:t>
            </w:r>
            <w:r>
              <w:rPr>
                <w:color w:val="000000"/>
                <w:szCs w:val="22"/>
              </w:rPr>
              <w:t>Estadual</w:t>
            </w:r>
          </w:p>
        </w:tc>
        <w:tc>
          <w:tcPr>
            <w:tcW w:w="1127" w:type="dxa"/>
            <w:tcBorders>
              <w:top w:val="nil"/>
              <w:left w:val="nil"/>
              <w:bottom w:val="nil"/>
              <w:right w:val="nil"/>
            </w:tcBorders>
            <w:shd w:val="clear" w:color="auto" w:fill="auto"/>
            <w:noWrap/>
            <w:vAlign w:val="center"/>
            <w:hideMark/>
          </w:tcPr>
          <w:p w:rsidR="00AF5362" w:rsidRPr="007E30DB" w:rsidRDefault="00AF5362" w:rsidP="009A060E">
            <w:pPr>
              <w:jc w:val="center"/>
              <w:rPr>
                <w:color w:val="000000"/>
              </w:rPr>
            </w:pPr>
            <w:r>
              <w:rPr>
                <w:color w:val="000000"/>
                <w:szCs w:val="22"/>
              </w:rPr>
              <w:t>Estadual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DF6774">
            <w:pPr>
              <w:jc w:val="center"/>
              <w:rPr>
                <w:color w:val="000000"/>
              </w:rPr>
            </w:pPr>
            <w:r w:rsidRPr="007E30DB">
              <w:rPr>
                <w:color w:val="000000"/>
                <w:szCs w:val="22"/>
              </w:rPr>
              <w:t>200</w:t>
            </w:r>
            <w:r w:rsidR="00DF6774">
              <w:rPr>
                <w:color w:val="000000"/>
                <w:szCs w:val="22"/>
              </w:rPr>
              <w:t>2</w:t>
            </w:r>
          </w:p>
        </w:tc>
        <w:tc>
          <w:tcPr>
            <w:tcW w:w="1409"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szCs w:val="22"/>
              </w:rPr>
              <w:t>4</w:t>
            </w:r>
          </w:p>
        </w:tc>
        <w:tc>
          <w:tcPr>
            <w:tcW w:w="2586"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rPr>
              <w:t>Senador</w:t>
            </w:r>
          </w:p>
        </w:tc>
        <w:tc>
          <w:tcPr>
            <w:tcW w:w="1127"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Nacional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AF5362">
            <w:pPr>
              <w:jc w:val="center"/>
              <w:rPr>
                <w:color w:val="000000"/>
              </w:rPr>
            </w:pPr>
            <w:r w:rsidRPr="007E30DB">
              <w:rPr>
                <w:color w:val="000000"/>
                <w:szCs w:val="22"/>
              </w:rPr>
              <w:t>200</w:t>
            </w:r>
            <w:r w:rsidR="00AF5362">
              <w:rPr>
                <w:color w:val="000000"/>
                <w:szCs w:val="22"/>
              </w:rPr>
              <w:t>6</w:t>
            </w:r>
          </w:p>
        </w:tc>
        <w:tc>
          <w:tcPr>
            <w:tcW w:w="1409"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szCs w:val="22"/>
              </w:rPr>
              <w:t>5</w:t>
            </w:r>
          </w:p>
        </w:tc>
        <w:tc>
          <w:tcPr>
            <w:tcW w:w="2586"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Governador</w:t>
            </w:r>
          </w:p>
        </w:tc>
        <w:tc>
          <w:tcPr>
            <w:tcW w:w="1127"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szCs w:val="22"/>
              </w:rPr>
              <w:t>Estadual</w:t>
            </w:r>
          </w:p>
        </w:tc>
      </w:tr>
      <w:tr w:rsidR="00C740CF" w:rsidRPr="007E30DB" w:rsidTr="009A060E">
        <w:trPr>
          <w:trHeight w:val="300"/>
          <w:jc w:val="center"/>
        </w:trPr>
        <w:tc>
          <w:tcPr>
            <w:tcW w:w="620" w:type="dxa"/>
            <w:tcBorders>
              <w:top w:val="nil"/>
              <w:left w:val="nil"/>
              <w:bottom w:val="nil"/>
              <w:right w:val="nil"/>
            </w:tcBorders>
            <w:shd w:val="clear" w:color="auto" w:fill="auto"/>
            <w:noWrap/>
            <w:vAlign w:val="center"/>
            <w:hideMark/>
          </w:tcPr>
          <w:p w:rsidR="00C740CF" w:rsidRPr="007E30DB" w:rsidRDefault="00C740CF" w:rsidP="00AF5362">
            <w:pPr>
              <w:jc w:val="center"/>
              <w:rPr>
                <w:color w:val="000000"/>
              </w:rPr>
            </w:pPr>
            <w:r w:rsidRPr="007E30DB">
              <w:rPr>
                <w:color w:val="000000"/>
                <w:szCs w:val="22"/>
              </w:rPr>
              <w:t>201</w:t>
            </w:r>
            <w:r w:rsidR="00AF5362">
              <w:rPr>
                <w:color w:val="000000"/>
                <w:szCs w:val="22"/>
              </w:rPr>
              <w:t>0</w:t>
            </w:r>
          </w:p>
        </w:tc>
        <w:tc>
          <w:tcPr>
            <w:tcW w:w="1409"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szCs w:val="22"/>
              </w:rPr>
              <w:t>6</w:t>
            </w:r>
          </w:p>
        </w:tc>
        <w:tc>
          <w:tcPr>
            <w:tcW w:w="2586" w:type="dxa"/>
            <w:tcBorders>
              <w:top w:val="nil"/>
              <w:left w:val="nil"/>
              <w:bottom w:val="nil"/>
              <w:right w:val="nil"/>
            </w:tcBorders>
            <w:shd w:val="clear" w:color="auto" w:fill="auto"/>
            <w:noWrap/>
            <w:vAlign w:val="center"/>
            <w:hideMark/>
          </w:tcPr>
          <w:p w:rsidR="00C740CF" w:rsidRPr="007E30DB" w:rsidRDefault="00C740CF" w:rsidP="009A060E">
            <w:pPr>
              <w:jc w:val="center"/>
              <w:rPr>
                <w:color w:val="000000"/>
              </w:rPr>
            </w:pPr>
            <w:r w:rsidRPr="007E30DB">
              <w:rPr>
                <w:color w:val="000000"/>
                <w:szCs w:val="22"/>
              </w:rPr>
              <w:t>Governador</w:t>
            </w:r>
          </w:p>
        </w:tc>
        <w:tc>
          <w:tcPr>
            <w:tcW w:w="1127" w:type="dxa"/>
            <w:tcBorders>
              <w:top w:val="nil"/>
              <w:left w:val="nil"/>
              <w:bottom w:val="nil"/>
              <w:right w:val="nil"/>
            </w:tcBorders>
            <w:shd w:val="clear" w:color="auto" w:fill="auto"/>
            <w:noWrap/>
            <w:vAlign w:val="center"/>
            <w:hideMark/>
          </w:tcPr>
          <w:p w:rsidR="00C740CF" w:rsidRPr="007E30DB" w:rsidRDefault="00AF5362" w:rsidP="009A060E">
            <w:pPr>
              <w:jc w:val="center"/>
              <w:rPr>
                <w:color w:val="000000"/>
              </w:rPr>
            </w:pPr>
            <w:r>
              <w:rPr>
                <w:color w:val="000000"/>
                <w:szCs w:val="22"/>
              </w:rPr>
              <w:t>Estadual</w:t>
            </w:r>
          </w:p>
        </w:tc>
      </w:tr>
    </w:tbl>
    <w:p w:rsidR="00C740CF" w:rsidRDefault="00C740CF" w:rsidP="00701766">
      <w:pPr>
        <w:jc w:val="both"/>
        <w:rPr>
          <w:b/>
          <w:bCs/>
          <w:color w:val="000000"/>
        </w:rPr>
      </w:pPr>
    </w:p>
    <w:p w:rsidR="00CF091D" w:rsidRPr="007B56E3" w:rsidRDefault="00753944" w:rsidP="0060512E">
      <w:pPr>
        <w:spacing w:line="360" w:lineRule="auto"/>
        <w:jc w:val="both"/>
      </w:pPr>
      <w:r>
        <w:rPr>
          <w:b/>
          <w:bCs/>
          <w:color w:val="000000"/>
        </w:rPr>
        <w:tab/>
      </w:r>
      <w:r w:rsidRPr="00753944">
        <w:rPr>
          <w:bCs/>
          <w:color w:val="000000"/>
        </w:rPr>
        <w:t xml:space="preserve">De forma distinta a do Governador da Província de Buenos Aires os dados da de carreira de Sérgio Cabral </w:t>
      </w:r>
      <w:r>
        <w:rPr>
          <w:bCs/>
          <w:color w:val="000000"/>
        </w:rPr>
        <w:t xml:space="preserve">parece apontar para uma </w:t>
      </w:r>
      <w:r w:rsidRPr="00753944">
        <w:rPr>
          <w:bCs/>
          <w:color w:val="000000"/>
        </w:rPr>
        <w:t>estratégia</w:t>
      </w:r>
      <w:r>
        <w:rPr>
          <w:bCs/>
          <w:color w:val="000000"/>
        </w:rPr>
        <w:t xml:space="preserve"> mais linear. Nesse ponto, o amadurecimento para seu primeiro cargo no executivo se dá com a ocupação de posições, em primeiro lugar, no legislativo estadual, para em seguida se valer de uma passagem no Senado Federal. </w:t>
      </w:r>
      <w:r w:rsidR="00CF091D">
        <w:rPr>
          <w:bCs/>
          <w:color w:val="000000"/>
        </w:rPr>
        <w:t>Sérgio Cabral, t</w:t>
      </w:r>
      <w:r>
        <w:rPr>
          <w:bCs/>
          <w:color w:val="000000"/>
        </w:rPr>
        <w:t xml:space="preserve">ido como </w:t>
      </w:r>
      <w:r w:rsidRPr="00753944">
        <w:rPr>
          <w:bCs/>
          <w:color w:val="000000"/>
        </w:rPr>
        <w:t>político de trajetória ascendente</w:t>
      </w:r>
      <w:r w:rsidR="00CF091D">
        <w:rPr>
          <w:b/>
          <w:bCs/>
          <w:color w:val="000000"/>
        </w:rPr>
        <w:t xml:space="preserve"> </w:t>
      </w:r>
      <w:r w:rsidR="00CF091D" w:rsidRPr="001A4C10">
        <w:rPr>
          <w:bCs/>
          <w:color w:val="000000"/>
        </w:rPr>
        <w:t>teve a carreira política atravessada, no ano de 2016</w:t>
      </w:r>
      <w:r w:rsidR="00CF091D">
        <w:rPr>
          <w:bCs/>
          <w:color w:val="000000"/>
        </w:rPr>
        <w:t>, pela Operação Lava Jato</w:t>
      </w:r>
      <w:r w:rsidR="00CF091D" w:rsidRPr="001A4C10">
        <w:rPr>
          <w:bCs/>
          <w:color w:val="000000"/>
        </w:rPr>
        <w:t xml:space="preserve"> que no desenrolar das investigações o tornaria réu por corrupção passiva, lavagem </w:t>
      </w:r>
      <w:r w:rsidR="00CF091D">
        <w:rPr>
          <w:bCs/>
          <w:color w:val="000000"/>
        </w:rPr>
        <w:t xml:space="preserve">de dinheiro e evasão de divisas tendo seu envolvimento nesses atos investigado por distintas operações: </w:t>
      </w:r>
      <w:r w:rsidR="00CF091D" w:rsidRPr="007B56E3">
        <w:t>Calicute, Eficiência, Fatura Exposta,</w:t>
      </w:r>
      <w:r w:rsidR="00CF091D">
        <w:t xml:space="preserve"> </w:t>
      </w:r>
      <w:r w:rsidR="00CF091D" w:rsidRPr="007B56E3">
        <w:t>Mascate e Unfair Play.</w:t>
      </w:r>
    </w:p>
    <w:p w:rsidR="00254F52" w:rsidRDefault="00254F52" w:rsidP="00701766">
      <w:pPr>
        <w:jc w:val="both"/>
        <w:rPr>
          <w:b/>
          <w:bCs/>
          <w:color w:val="000000"/>
        </w:rPr>
      </w:pPr>
      <w:r>
        <w:rPr>
          <w:b/>
          <w:bCs/>
          <w:color w:val="000000"/>
        </w:rPr>
        <w:tab/>
      </w:r>
    </w:p>
    <w:p w:rsidR="000734D9" w:rsidRDefault="00AE296F" w:rsidP="000734D9">
      <w:pPr>
        <w:jc w:val="both"/>
        <w:rPr>
          <w:b/>
          <w:bCs/>
          <w:color w:val="000000"/>
        </w:rPr>
      </w:pPr>
      <w:r>
        <w:rPr>
          <w:b/>
        </w:rPr>
        <w:t xml:space="preserve">3.2.3 </w:t>
      </w:r>
      <w:r w:rsidR="000734D9">
        <w:rPr>
          <w:b/>
        </w:rPr>
        <w:t>Capacidade de Cooperação</w:t>
      </w:r>
    </w:p>
    <w:p w:rsidR="00701766" w:rsidRDefault="00701766" w:rsidP="00701766">
      <w:pPr>
        <w:jc w:val="both"/>
        <w:rPr>
          <w:b/>
          <w:bCs/>
          <w:color w:val="000000"/>
        </w:rPr>
      </w:pPr>
    </w:p>
    <w:p w:rsidR="000F4A57" w:rsidRPr="00A210CB" w:rsidRDefault="000F4A57" w:rsidP="000F4A57">
      <w:pPr>
        <w:pStyle w:val="PargrafodaLista"/>
        <w:numPr>
          <w:ilvl w:val="0"/>
          <w:numId w:val="37"/>
        </w:numPr>
        <w:jc w:val="both"/>
        <w:rPr>
          <w:rFonts w:ascii="Times New Roman" w:hAnsi="Times New Roman"/>
          <w:b/>
          <w:sz w:val="24"/>
        </w:rPr>
      </w:pPr>
      <w:r w:rsidRPr="00A210CB">
        <w:rPr>
          <w:rFonts w:ascii="Times New Roman" w:hAnsi="Times New Roman"/>
          <w:b/>
          <w:color w:val="000000"/>
          <w:sz w:val="24"/>
        </w:rPr>
        <w:t xml:space="preserve">Partido do Governador é o mesmo do </w:t>
      </w:r>
      <w:r w:rsidRPr="006E19C4">
        <w:rPr>
          <w:rFonts w:ascii="Times New Roman" w:hAnsi="Times New Roman"/>
          <w:b/>
          <w:color w:val="000000"/>
          <w:sz w:val="24"/>
        </w:rPr>
        <w:t>governo nacional</w:t>
      </w:r>
    </w:p>
    <w:p w:rsidR="000F4A57" w:rsidRDefault="000922F9" w:rsidP="000922F9">
      <w:pPr>
        <w:spacing w:line="360" w:lineRule="auto"/>
        <w:ind w:firstLine="360"/>
        <w:jc w:val="both"/>
      </w:pPr>
      <w:r>
        <w:t xml:space="preserve">Considerar o signo partidário como indicador de cooperação tem como objetivo observar que há importância da ideologia. Em seu estudo sobre a atividade paradiplomática dos municípios brasileiros, Salomón (2011) indica que entre as prefeituras que mais se destacavam na atividade internacional estavam as </w:t>
      </w:r>
      <w:r w:rsidR="007B697C">
        <w:t>cidades de Porto Alegre (Tarso G</w:t>
      </w:r>
      <w:r>
        <w:t xml:space="preserve">enro), São Paulo (Marta Suplicy) e Guarulhos (Eloy Pieta) todos eles vinculados ao Partido dos Trabalhadores. A pesquisadora desenvolve dois argumentos explicativos desse fenômeno. O primeiro tem relação a “preponderância dos líderes de esquerda” no movimento de internacionalização das cidades o que, </w:t>
      </w:r>
      <w:r>
        <w:lastRenderedPageBreak/>
        <w:t xml:space="preserve">naturalmente estava em sintonia com a PT inclusive no que diz respeito a difusão de boas práticas em políticas públicas com um papel destacado para as práticas urbanas. </w:t>
      </w:r>
    </w:p>
    <w:p w:rsidR="00E548B6" w:rsidRDefault="000922F9" w:rsidP="00E548B6">
      <w:pPr>
        <w:spacing w:line="360" w:lineRule="auto"/>
        <w:jc w:val="both"/>
      </w:pPr>
      <w:r>
        <w:tab/>
        <w:t>Por seu turno, ao investigar a ação internacional dos estados no Brasil, em termos de “estrututuras organizacionais”</w:t>
      </w:r>
      <w:r w:rsidR="00E548B6">
        <w:t xml:space="preserve"> </w:t>
      </w:r>
      <w:r>
        <w:t xml:space="preserve">Bueno (2010) </w:t>
      </w:r>
      <w:r w:rsidR="00E548B6">
        <w:t xml:space="preserve">destaca que o PSDB tem sido o partido que mais tem desenvolvido organismos para atuação internacional. Cabe indicar que os resultados estão condicionados ao instrumento metodológico adotado (survey) e os dados só são apresentados para as unidades subnacionais que responderam o questionário (17 UFs). </w:t>
      </w:r>
    </w:p>
    <w:p w:rsidR="00345568" w:rsidRDefault="00345568" w:rsidP="00345568">
      <w:pPr>
        <w:spacing w:line="360" w:lineRule="auto"/>
        <w:ind w:firstLine="708"/>
        <w:jc w:val="both"/>
      </w:pPr>
      <w:r>
        <w:t>José Nelson Bessa Maia (2004) credita quatro elementos ao destacar os elementos para o sucesso de iniciativas paradiplomáticas, nesse sentido, aponta i) a estratégia desenvolvida pelo poder público local, ii) o apoio do governo federal iii) envolvimento de organismos internacionais, iv) e participação da sociedade civil e do empresariado. Para a nossa pesquisa, esses resultados apontam que há espaço para investigações que observem o desenvolvimento de uma “racionalização da política exterior” tanto de cunho cooperativo quanto de características competitivas frente ao governo centrarelação ao último trabalho e o aspecto competitivo cabe então observar o papel da atuação do Partido da Social Democracia Brasileiro durante as gestões do Partido dos Trabalhadores em âmbito federal. Dessa maneira cabe apontar que partimos dos da premissa de que ideologia importa em termos de cooperação x conflito político em âmbito da ação internacional das unidades federativas.</w:t>
      </w:r>
    </w:p>
    <w:p w:rsidR="00254F52" w:rsidRDefault="00254F52" w:rsidP="00E548B6">
      <w:pPr>
        <w:spacing w:line="360" w:lineRule="auto"/>
        <w:ind w:firstLine="708"/>
        <w:jc w:val="both"/>
      </w:pPr>
    </w:p>
    <w:p w:rsidR="00254F52" w:rsidRDefault="00254F52"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0E3071" w:rsidRDefault="000E3071" w:rsidP="00E548B6">
      <w:pPr>
        <w:spacing w:line="360" w:lineRule="auto"/>
        <w:ind w:firstLine="708"/>
        <w:jc w:val="both"/>
      </w:pPr>
    </w:p>
    <w:p w:rsidR="008F10F0" w:rsidRPr="00C42FD8" w:rsidRDefault="008F10F0" w:rsidP="008F10F0">
      <w:pPr>
        <w:jc w:val="both"/>
        <w:rPr>
          <w:sz w:val="20"/>
        </w:rPr>
      </w:pPr>
      <w:r w:rsidRPr="00D43DB9">
        <w:rPr>
          <w:b/>
        </w:rPr>
        <w:lastRenderedPageBreak/>
        <w:t>R</w:t>
      </w:r>
      <w:r>
        <w:rPr>
          <w:b/>
        </w:rPr>
        <w:t>EFERÊ</w:t>
      </w:r>
      <w:r w:rsidRPr="00D43DB9">
        <w:rPr>
          <w:b/>
        </w:rPr>
        <w:t>NCIAS BIBLIOGRÁFICAS</w:t>
      </w:r>
    </w:p>
    <w:p w:rsidR="008F10F0" w:rsidRDefault="008F10F0" w:rsidP="008F10F0">
      <w:pPr>
        <w:jc w:val="both"/>
        <w:rPr>
          <w:shd w:val="clear" w:color="auto" w:fill="FFFFFF"/>
        </w:rPr>
      </w:pPr>
    </w:p>
    <w:p w:rsidR="008F10F0" w:rsidRDefault="008F10F0" w:rsidP="008F10F0">
      <w:pPr>
        <w:jc w:val="both"/>
      </w:pPr>
      <w:r w:rsidRPr="001A4A07">
        <w:t>ABRUCIO</w:t>
      </w:r>
      <w:r>
        <w:t>,</w:t>
      </w:r>
      <w:r w:rsidRPr="001A4A07">
        <w:t xml:space="preserve"> FL. A coordenação federativa no Brasil: a experiência do período FHC e os desafios do governo Lula. </w:t>
      </w:r>
      <w:r w:rsidRPr="006C0994">
        <w:rPr>
          <w:b/>
        </w:rPr>
        <w:t>Rev. Sociol.Polít</w:t>
      </w:r>
      <w:r w:rsidRPr="001A4A07">
        <w:t>. 2005; 24:41-67.</w:t>
      </w:r>
    </w:p>
    <w:p w:rsidR="005E16F6" w:rsidRDefault="005E16F6" w:rsidP="008F10F0">
      <w:pPr>
        <w:jc w:val="both"/>
      </w:pPr>
    </w:p>
    <w:p w:rsidR="005E16F6" w:rsidRDefault="005E16F6" w:rsidP="008F10F0">
      <w:pPr>
        <w:jc w:val="both"/>
      </w:pPr>
      <w:r>
        <w:t>ABRUCIO, F. L; SANO, H. Associativismo Intergovernamental: experiências brasileiras (autores). GARCIA, L. de O.; OLIVEIRA, N. P.; ANTERO, S. A. (orgs.). Fundação Instituto para o Fortalecimento das Capacidades Institucionais – IFCI / Agência Espanhola de Cooperação Internacional para o Desenvolvimento – AECID / Ministério do Planejamento, Orçamento e Gestão – MPOG / Editora IABS, Brasília-DF, Brasil - 2013.</w:t>
      </w:r>
    </w:p>
    <w:p w:rsidR="00F6403F" w:rsidRPr="001A4A07" w:rsidRDefault="00F6403F" w:rsidP="008F10F0">
      <w:pPr>
        <w:jc w:val="both"/>
      </w:pPr>
    </w:p>
    <w:p w:rsidR="00F6403F" w:rsidRDefault="00F6403F" w:rsidP="00F6403F">
      <w:pPr>
        <w:jc w:val="both"/>
      </w:pPr>
      <w:r>
        <w:t>AGUIAR, D., et al (2015), El rol del Banco Interamericano de Desarrollo (BID) en la reconfiguración de las instituciones y políticas de fomento a lan ciencia, la tecnología y la innovación de la Argentina (1993-1999), en Revista Iberoamericana de Ciencia, Tecnología y Sociedad - CTS, vol. 10, núm. 29, mayo, 2015, pp. 11-40, Centro de Estudios sobre Ciencia, Desarrollo y Educación Superior, Buenos Aires, Argentina.</w:t>
      </w:r>
    </w:p>
    <w:p w:rsidR="00F6403F" w:rsidRDefault="00F6403F" w:rsidP="00F6403F">
      <w:pPr>
        <w:jc w:val="both"/>
      </w:pPr>
    </w:p>
    <w:p w:rsidR="008F10F0" w:rsidRPr="00D43DB9" w:rsidRDefault="008F10F0" w:rsidP="008F10F0">
      <w:pPr>
        <w:jc w:val="both"/>
        <w:rPr>
          <w:lang w:val="es-ES"/>
        </w:rPr>
      </w:pPr>
      <w:r w:rsidRPr="00D43DB9">
        <w:rPr>
          <w:shd w:val="clear" w:color="auto" w:fill="FFFFFF"/>
        </w:rPr>
        <w:t xml:space="preserve">ALESSANDRO, Martín et al. </w:t>
      </w:r>
      <w:r w:rsidRPr="00D43DB9">
        <w:rPr>
          <w:shd w:val="clear" w:color="auto" w:fill="FFFFFF"/>
          <w:lang w:val="es-ES"/>
        </w:rPr>
        <w:t>El Centro de Gobierno en la Provincia de Buenos Aires: Diagnóstico de funcionamiento y propuestas de fortalecimiento. </w:t>
      </w:r>
      <w:r w:rsidRPr="00D43DB9">
        <w:rPr>
          <w:b/>
          <w:bCs/>
          <w:shd w:val="clear" w:color="auto" w:fill="FFFFFF"/>
          <w:lang w:val="es-ES"/>
        </w:rPr>
        <w:t>Nota técnica del BID (Instituciones para el Desarrollo. División de Capacidad Institucional del Estado); IDB-TN-888</w:t>
      </w:r>
      <w:r w:rsidRPr="00D43DB9">
        <w:rPr>
          <w:shd w:val="clear" w:color="auto" w:fill="FFFFFF"/>
          <w:lang w:val="es-ES"/>
        </w:rPr>
        <w:t xml:space="preserve">, 2015. </w:t>
      </w:r>
      <w:hyperlink r:id="rId10" w:anchor="sthash.qXx9OBcv.dpuf" w:history="1">
        <w:r w:rsidRPr="00D43DB9">
          <w:rPr>
            <w:color w:val="0000FF"/>
            <w:u w:val="single"/>
            <w:lang w:val="es-ES"/>
          </w:rPr>
          <w:t>http://dx.doi.org/10.18235/0000223#sthash.qXx9OBcv.dpuf</w:t>
        </w:r>
      </w:hyperlink>
    </w:p>
    <w:p w:rsidR="008F10F0" w:rsidRPr="00D43DB9" w:rsidRDefault="008F10F0" w:rsidP="008F10F0">
      <w:pPr>
        <w:jc w:val="both"/>
        <w:rPr>
          <w:lang w:val="es-ES"/>
        </w:rPr>
      </w:pPr>
    </w:p>
    <w:p w:rsidR="00F6403F" w:rsidRDefault="00F6403F" w:rsidP="00F6403F">
      <w:pPr>
        <w:jc w:val="both"/>
      </w:pPr>
      <w:r>
        <w:t>ÁLVAREZ, C., et al (2012), El acceso al crédito de los gobiernos subnacionales. El caso de las Provincias y Municipios de la República Argentina, Jornadas Internacionales de Finanzas Públicas, Facultad de Ciencias Económicas, UNC, Argentina.</w:t>
      </w:r>
    </w:p>
    <w:p w:rsidR="00F6403F" w:rsidRDefault="00F6403F" w:rsidP="00F6403F">
      <w:pPr>
        <w:jc w:val="both"/>
      </w:pPr>
    </w:p>
    <w:p w:rsidR="008F10F0" w:rsidRPr="00D43DB9" w:rsidRDefault="008F10F0" w:rsidP="008F10F0">
      <w:pPr>
        <w:jc w:val="both"/>
      </w:pPr>
      <w:r w:rsidRPr="00D43DB9">
        <w:rPr>
          <w:lang w:val="es-ES"/>
        </w:rPr>
        <w:t xml:space="preserve">ARGENTINA. </w:t>
      </w:r>
      <w:r w:rsidRPr="00D43DB9">
        <w:rPr>
          <w:b/>
          <w:lang w:val="es-ES"/>
        </w:rPr>
        <w:t>Constitución de La Nación Argentina</w:t>
      </w:r>
      <w:r w:rsidRPr="00D43DB9">
        <w:rPr>
          <w:lang w:val="es-ES"/>
        </w:rPr>
        <w:t xml:space="preserve">. </w:t>
      </w:r>
      <w:r w:rsidRPr="00D43DB9">
        <w:t>Buenos Aires: JGM, 2008. Disponível em:</w:t>
      </w:r>
      <w:hyperlink r:id="rId11" w:history="1">
        <w:r w:rsidRPr="00D43DB9">
          <w:rPr>
            <w:color w:val="0000FF"/>
            <w:u w:val="single"/>
          </w:rPr>
          <w:t>//www.jgm.gob.ar/</w:t>
        </w:r>
      </w:hyperlink>
      <w:r w:rsidRPr="00D43DB9">
        <w:t>. Acessado em: 18 de novembro de 2014.</w:t>
      </w:r>
    </w:p>
    <w:p w:rsidR="008F10F0" w:rsidRPr="00D43DB9" w:rsidRDefault="008F10F0" w:rsidP="008F10F0">
      <w:pPr>
        <w:jc w:val="both"/>
      </w:pPr>
    </w:p>
    <w:p w:rsidR="008F10F0" w:rsidRDefault="008F10F0" w:rsidP="008F10F0">
      <w:pPr>
        <w:pStyle w:val="Pr-formataoHTML"/>
        <w:shd w:val="clear" w:color="auto" w:fill="FFFFFF"/>
        <w:jc w:val="both"/>
        <w:rPr>
          <w:rFonts w:ascii="Times New Roman" w:hAnsi="Times New Roman" w:cs="Times New Roman"/>
          <w:color w:val="000000"/>
          <w:sz w:val="24"/>
        </w:rPr>
      </w:pPr>
      <w:r w:rsidRPr="007033BA">
        <w:rPr>
          <w:rFonts w:ascii="Times New Roman" w:hAnsi="Times New Roman" w:cs="Times New Roman"/>
          <w:color w:val="000000"/>
          <w:sz w:val="24"/>
        </w:rPr>
        <w:t>ARRETCHE, Marta. Federalismo e políticas sociais no Brasil: problemas de coordenação e autonomia.</w:t>
      </w:r>
      <w:r w:rsidRPr="007033BA">
        <w:rPr>
          <w:rFonts w:ascii="Times New Roman" w:hAnsi="Times New Roman" w:cs="Times New Roman"/>
          <w:b/>
          <w:bCs/>
          <w:color w:val="000000"/>
          <w:sz w:val="24"/>
        </w:rPr>
        <w:t> São Paulo Perspec.</w:t>
      </w:r>
      <w:r w:rsidRPr="007033BA">
        <w:rPr>
          <w:rFonts w:ascii="Times New Roman" w:hAnsi="Times New Roman" w:cs="Times New Roman"/>
          <w:color w:val="000000"/>
          <w:sz w:val="24"/>
        </w:rPr>
        <w:t xml:space="preserve">,  São Paulo ,  v. </w:t>
      </w:r>
      <w:r w:rsidR="00347D6B">
        <w:rPr>
          <w:rFonts w:ascii="Times New Roman" w:hAnsi="Times New Roman" w:cs="Times New Roman"/>
          <w:color w:val="000000"/>
          <w:sz w:val="24"/>
        </w:rPr>
        <w:t>18, n. 2, p. 17-26,  June  2004</w:t>
      </w:r>
      <w:r w:rsidRPr="007033BA">
        <w:rPr>
          <w:rFonts w:ascii="Times New Roman" w:hAnsi="Times New Roman" w:cs="Times New Roman"/>
          <w:color w:val="000000"/>
          <w:sz w:val="24"/>
        </w:rPr>
        <w:t>.</w:t>
      </w:r>
    </w:p>
    <w:p w:rsidR="00347D6B" w:rsidRDefault="00347D6B" w:rsidP="00347D6B">
      <w:pPr>
        <w:jc w:val="both"/>
      </w:pPr>
    </w:p>
    <w:p w:rsidR="00347D6B" w:rsidRPr="007E24F4" w:rsidRDefault="00347D6B" w:rsidP="00347D6B">
      <w:pPr>
        <w:jc w:val="both"/>
        <w:rPr>
          <w:sz w:val="28"/>
        </w:rPr>
      </w:pPr>
      <w:r w:rsidRPr="007E24F4">
        <w:rPr>
          <w:color w:val="222222"/>
          <w:szCs w:val="22"/>
          <w:shd w:val="clear" w:color="auto" w:fill="FFFFFF"/>
        </w:rPr>
        <w:t>BANDEIRA, Luiz Alberto Moniz. As políticas neoliberais e a crise na América do Sul. </w:t>
      </w:r>
      <w:r w:rsidRPr="007E24F4">
        <w:rPr>
          <w:b/>
          <w:bCs/>
          <w:color w:val="222222"/>
          <w:szCs w:val="22"/>
          <w:shd w:val="clear" w:color="auto" w:fill="FFFFFF"/>
        </w:rPr>
        <w:t>Revista brasileira de política internacional</w:t>
      </w:r>
      <w:r w:rsidRPr="007E24F4">
        <w:rPr>
          <w:color w:val="222222"/>
          <w:szCs w:val="22"/>
          <w:shd w:val="clear" w:color="auto" w:fill="FFFFFF"/>
        </w:rPr>
        <w:t>, v. 45, n. 2, p. 135-146, 2002.</w:t>
      </w:r>
    </w:p>
    <w:p w:rsidR="008F10F0" w:rsidRDefault="008F10F0" w:rsidP="008F10F0">
      <w:pPr>
        <w:pStyle w:val="Pr-formataoHTML"/>
        <w:shd w:val="clear" w:color="auto" w:fill="FFFFFF"/>
        <w:jc w:val="both"/>
        <w:rPr>
          <w:rFonts w:ascii="Times New Roman" w:hAnsi="Times New Roman" w:cs="Times New Roman"/>
          <w:color w:val="000000"/>
          <w:sz w:val="24"/>
        </w:rPr>
      </w:pPr>
    </w:p>
    <w:p w:rsidR="008F10F0" w:rsidRDefault="008F10F0" w:rsidP="008F10F0">
      <w:pPr>
        <w:jc w:val="both"/>
        <w:rPr>
          <w:lang w:val="es-ES"/>
        </w:rPr>
      </w:pPr>
      <w:r w:rsidRPr="00374178">
        <w:rPr>
          <w:lang w:val="es-ES"/>
        </w:rPr>
        <w:t xml:space="preserve">BANCO INTERAMERICANO DE DESARROLLO. </w:t>
      </w:r>
      <w:r w:rsidRPr="00374178">
        <w:rPr>
          <w:b/>
          <w:lang w:val="es-ES"/>
        </w:rPr>
        <w:t>El Centro de Gobierno en la Provincia de Buenos Aires: diagnóstico de funcionamiento y propuestas de fortalecimiento</w:t>
      </w:r>
      <w:r w:rsidRPr="00374178">
        <w:rPr>
          <w:lang w:val="es-ES"/>
        </w:rPr>
        <w:t xml:space="preserve"> / Martin Alessandro, Mariano Lafuente, Javier Reyes, Fernando Straface — (</w:t>
      </w:r>
      <w:r w:rsidRPr="00374178">
        <w:rPr>
          <w:b/>
          <w:lang w:val="es-ES"/>
        </w:rPr>
        <w:t>Nota técnica del BID</w:t>
      </w:r>
      <w:r w:rsidRPr="00374178">
        <w:rPr>
          <w:lang w:val="es-ES"/>
        </w:rPr>
        <w:t xml:space="preserve"> ; 888), 2015.</w:t>
      </w:r>
    </w:p>
    <w:p w:rsidR="00347D6B" w:rsidRPr="00374178" w:rsidRDefault="00347D6B" w:rsidP="008F10F0">
      <w:pPr>
        <w:jc w:val="both"/>
        <w:rPr>
          <w:lang w:val="es-ES"/>
        </w:rPr>
      </w:pPr>
    </w:p>
    <w:p w:rsidR="00347D6B" w:rsidRDefault="00347D6B" w:rsidP="00347D6B">
      <w:pPr>
        <w:jc w:val="both"/>
      </w:pPr>
      <w:r w:rsidRPr="00D43DB9">
        <w:t xml:space="preserve">BRASIL. </w:t>
      </w:r>
      <w:r>
        <w:rPr>
          <w:b/>
        </w:rPr>
        <w:t>Constituição da Repú</w:t>
      </w:r>
      <w:r w:rsidRPr="00D43DB9">
        <w:rPr>
          <w:b/>
        </w:rPr>
        <w:t>blica Federati</w:t>
      </w:r>
      <w:r>
        <w:rPr>
          <w:b/>
        </w:rPr>
        <w:t>v</w:t>
      </w:r>
      <w:r w:rsidRPr="00D43DB9">
        <w:rPr>
          <w:b/>
        </w:rPr>
        <w:t>a do Brasil de 1988.</w:t>
      </w:r>
      <w:r w:rsidRPr="00D43DB9">
        <w:t xml:space="preserve"> Brasília: PLANALTO, 2008. Disponível em: </w:t>
      </w:r>
      <w:hyperlink r:id="rId12" w:history="1">
        <w:r w:rsidRPr="00D43DB9">
          <w:rPr>
            <w:color w:val="0000FF"/>
            <w:u w:val="single"/>
          </w:rPr>
          <w:t>www.planalto.gov.br/ccivil_03/Constitui%C3%A7ao.htm</w:t>
        </w:r>
      </w:hyperlink>
      <w:r w:rsidRPr="00D43DB9">
        <w:t>. Acessado em: 18 de novembro de 2014.</w:t>
      </w:r>
    </w:p>
    <w:p w:rsidR="00347D6B" w:rsidRDefault="00347D6B" w:rsidP="00347D6B">
      <w:pPr>
        <w:jc w:val="both"/>
      </w:pPr>
    </w:p>
    <w:p w:rsidR="008F10F0" w:rsidRPr="00374178" w:rsidRDefault="008F10F0" w:rsidP="008F10F0">
      <w:pPr>
        <w:jc w:val="both"/>
        <w:rPr>
          <w:lang w:val="es-ES"/>
        </w:rPr>
      </w:pPr>
    </w:p>
    <w:p w:rsidR="008F10F0" w:rsidRPr="00D43DB9" w:rsidRDefault="008F10F0" w:rsidP="008F10F0">
      <w:pPr>
        <w:jc w:val="both"/>
        <w:rPr>
          <w:lang w:val="en-US"/>
        </w:rPr>
      </w:pPr>
      <w:r w:rsidRPr="00D43DB9">
        <w:lastRenderedPageBreak/>
        <w:t xml:space="preserve">BELÉM LOPES, D; SANTOS, M &amp; FARIA, C. A. P. de. "Ciclos de produção da política exterior nas democracias da América Latina: uma proposta de investigação para além do behaviorismo comparativista e das teorias sistêmicas das relações internacionais". </w:t>
      </w:r>
      <w:r w:rsidRPr="00D43DB9">
        <w:rPr>
          <w:b/>
        </w:rPr>
        <w:t>Trabalho apresentado no 36º Encontro Anual da Associação Nacional de Pós-graduação em Ciências Sociais</w:t>
      </w:r>
      <w:r w:rsidRPr="00D43DB9">
        <w:t xml:space="preserve">. </w:t>
      </w:r>
      <w:r>
        <w:rPr>
          <w:lang w:val="en-US"/>
        </w:rPr>
        <w:t>Águas de Lindó</w:t>
      </w:r>
      <w:r w:rsidRPr="00D43DB9">
        <w:rPr>
          <w:lang w:val="en-US"/>
        </w:rPr>
        <w:t>ia, SP. 2012.</w:t>
      </w:r>
    </w:p>
    <w:p w:rsidR="008F10F0" w:rsidRDefault="008F10F0" w:rsidP="008F10F0">
      <w:pPr>
        <w:jc w:val="both"/>
        <w:rPr>
          <w:lang w:val="en-US"/>
        </w:rPr>
      </w:pPr>
    </w:p>
    <w:p w:rsidR="008F10F0" w:rsidRPr="00D43DB9" w:rsidRDefault="008F10F0" w:rsidP="008F10F0">
      <w:pPr>
        <w:jc w:val="both"/>
      </w:pPr>
      <w:r w:rsidRPr="00D43DB9">
        <w:rPr>
          <w:lang w:val="en-US"/>
        </w:rPr>
        <w:t xml:space="preserve">______; _____:_____. Foreign Policy Analysis in Latin American democracies: the case for a research protocol. </w:t>
      </w:r>
      <w:r w:rsidRPr="00D43DB9">
        <w:rPr>
          <w:b/>
        </w:rPr>
        <w:t xml:space="preserve">Rev. Bras. Polít. Int., </w:t>
      </w:r>
      <w:r w:rsidRPr="00D43DB9">
        <w:t>59(1): e006, 2016</w:t>
      </w:r>
    </w:p>
    <w:p w:rsidR="008F10F0" w:rsidRDefault="008F10F0" w:rsidP="008F10F0">
      <w:pPr>
        <w:jc w:val="both"/>
      </w:pPr>
    </w:p>
    <w:p w:rsidR="008F10F0" w:rsidRPr="00D43DB9" w:rsidRDefault="008F10F0" w:rsidP="008F10F0">
      <w:pPr>
        <w:jc w:val="both"/>
      </w:pPr>
      <w:r w:rsidRPr="00D43DB9">
        <w:t xml:space="preserve">––––.; FARIA, C. A.; CASARÕES, G. Mudanças institucionais no Itamaraty, ethos corporativo e mitigação do insulamento burocrático do serviço exterior brasileiro, in: </w:t>
      </w:r>
      <w:r w:rsidRPr="00D43DB9">
        <w:rPr>
          <w:b/>
        </w:rPr>
        <w:t>Anais do 7º Encontro da Associação Brasileira de Ciência Política (ABCP),</w:t>
      </w:r>
      <w:r w:rsidRPr="00D43DB9">
        <w:t xml:space="preserve"> Recife. 2010.</w:t>
      </w:r>
    </w:p>
    <w:p w:rsidR="008F10F0" w:rsidRDefault="008F10F0" w:rsidP="008F10F0">
      <w:pPr>
        <w:jc w:val="both"/>
      </w:pPr>
    </w:p>
    <w:p w:rsidR="008F10F0" w:rsidRPr="00D43DB9" w:rsidRDefault="008F10F0" w:rsidP="008F10F0">
      <w:pPr>
        <w:jc w:val="both"/>
      </w:pPr>
      <w:r w:rsidRPr="00D43DB9">
        <w:t xml:space="preserve">____.; ____. Eleições presidenciais e política externa brasileira. </w:t>
      </w:r>
      <w:r w:rsidRPr="00D43DB9">
        <w:rPr>
          <w:b/>
        </w:rPr>
        <w:t>Estudos Internacionais.</w:t>
      </w:r>
      <w:r w:rsidRPr="00D43DB9">
        <w:t xml:space="preserve">  v. 2 n. 2 jul-dez 2014 p. 139-148</w:t>
      </w:r>
    </w:p>
    <w:p w:rsidR="008F10F0" w:rsidRDefault="008F10F0" w:rsidP="008F10F0">
      <w:pPr>
        <w:jc w:val="both"/>
      </w:pPr>
    </w:p>
    <w:p w:rsidR="008F10F0" w:rsidRPr="00D43DB9" w:rsidRDefault="008F10F0" w:rsidP="008F10F0">
      <w:pPr>
        <w:jc w:val="both"/>
      </w:pPr>
      <w:r w:rsidRPr="00D43DB9">
        <w:t xml:space="preserve">BELÉM LOPES, D. Da Razão de Estado ao Republicanismo Mitigado: A Plausibilidade de uma Política Externa Democraticamente Orientada no Brasil Contemporâneo. </w:t>
      </w:r>
      <w:r w:rsidRPr="00D43DB9">
        <w:rPr>
          <w:b/>
        </w:rPr>
        <w:t>Tese apresentada ao IESP/UERJ</w:t>
      </w:r>
      <w:r w:rsidRPr="00D43DB9">
        <w:t>. 2010.</w:t>
      </w:r>
    </w:p>
    <w:p w:rsidR="008F10F0" w:rsidRDefault="008F10F0" w:rsidP="008F10F0">
      <w:pPr>
        <w:jc w:val="both"/>
      </w:pPr>
    </w:p>
    <w:p w:rsidR="008F10F0" w:rsidRPr="00D43DB9" w:rsidRDefault="008F10F0" w:rsidP="008F10F0">
      <w:pPr>
        <w:jc w:val="both"/>
      </w:pPr>
      <w:r w:rsidRPr="00D43DB9">
        <w:t xml:space="preserve">____ . A política externa brasileira e a "circunstância democrática": do silêncio respeitoso à politização ruidosa. </w:t>
      </w:r>
      <w:r w:rsidRPr="00D43DB9">
        <w:rPr>
          <w:b/>
        </w:rPr>
        <w:t>Revista Brasileira de Política Internacional</w:t>
      </w:r>
      <w:r w:rsidRPr="00D43DB9">
        <w:t xml:space="preserve">. 2011. 54(1), p.67-86. </w:t>
      </w:r>
    </w:p>
    <w:p w:rsidR="008F10F0" w:rsidRDefault="008F10F0" w:rsidP="008F10F0">
      <w:pPr>
        <w:jc w:val="both"/>
      </w:pPr>
    </w:p>
    <w:p w:rsidR="008F10F0" w:rsidRPr="00B76A3E" w:rsidRDefault="008F10F0" w:rsidP="008F10F0">
      <w:pPr>
        <w:jc w:val="both"/>
      </w:pPr>
      <w:r w:rsidRPr="00D43DB9">
        <w:t xml:space="preserve">____. </w:t>
      </w:r>
      <w:r w:rsidRPr="00D43DB9">
        <w:rPr>
          <w:b/>
        </w:rPr>
        <w:t>Política Externa e Democracia no Brasil.</w:t>
      </w:r>
      <w:r w:rsidRPr="00D43DB9">
        <w:t xml:space="preserve"> São Paulo, Editora Unesp. </w:t>
      </w:r>
      <w:r w:rsidRPr="00B76A3E">
        <w:t>46-158, 2013.</w:t>
      </w:r>
    </w:p>
    <w:p w:rsidR="008F10F0" w:rsidRPr="00B76A3E" w:rsidRDefault="008F10F0" w:rsidP="008F10F0">
      <w:pPr>
        <w:jc w:val="both"/>
      </w:pPr>
    </w:p>
    <w:p w:rsidR="00347D6B" w:rsidRPr="00D23D94" w:rsidRDefault="00347D6B" w:rsidP="00347D6B">
      <w:pPr>
        <w:jc w:val="both"/>
        <w:rPr>
          <w:b/>
          <w:sz w:val="32"/>
        </w:rPr>
      </w:pPr>
      <w:r w:rsidRPr="00D23D94">
        <w:rPr>
          <w:color w:val="000000"/>
          <w:szCs w:val="20"/>
        </w:rPr>
        <w:t>BESSA MALA, José Nelson; SOMBRA SARAIVA, José Flávio. A paradiplomacia financeira em países emergentes de estrutura federativa.</w:t>
      </w:r>
      <w:r w:rsidRPr="00D23D94">
        <w:rPr>
          <w:b/>
          <w:bCs/>
          <w:color w:val="000000"/>
          <w:szCs w:val="20"/>
        </w:rPr>
        <w:t> Desafíos</w:t>
      </w:r>
      <w:r w:rsidRPr="00D23D94">
        <w:rPr>
          <w:color w:val="000000"/>
          <w:szCs w:val="20"/>
        </w:rPr>
        <w:t>,  Bogotá ,  v. 28, n. 1, p. 121-163,  Jan.  2016 .</w:t>
      </w:r>
    </w:p>
    <w:p w:rsidR="00347D6B" w:rsidRPr="00D43DB9" w:rsidRDefault="00347D6B" w:rsidP="00347D6B">
      <w:pPr>
        <w:jc w:val="both"/>
      </w:pPr>
    </w:p>
    <w:p w:rsidR="00F6403F" w:rsidRDefault="00F6403F" w:rsidP="00F6403F">
      <w:pPr>
        <w:jc w:val="both"/>
      </w:pPr>
      <w:r>
        <w:t xml:space="preserve">BID (2001), Estrategia de Desarrollo Subnacional, Serie de políticas y estrategias sectoriales del Departamento de Desarrollo Sostenible. Disponible en: http://idbdocs.iadb.org/wsdocs/getdocument.aspx?docnum=1441534 Consultado el 30/07/2015.  </w:t>
      </w:r>
    </w:p>
    <w:p w:rsidR="00F6403F" w:rsidRDefault="00F6403F" w:rsidP="00F6403F">
      <w:pPr>
        <w:jc w:val="both"/>
      </w:pPr>
    </w:p>
    <w:p w:rsidR="00F6403F" w:rsidRDefault="00F6403F" w:rsidP="00F6403F">
      <w:pPr>
        <w:jc w:val="both"/>
      </w:pPr>
      <w:r>
        <w:t xml:space="preserve">____. (2007), Programa de Mejora de la Gestión Municipal: Propuesta del Préstamo. Disponivel em: </w:t>
      </w:r>
      <w:hyperlink r:id="rId13" w:history="1">
        <w:r w:rsidRPr="00962F36">
          <w:rPr>
            <w:rStyle w:val="Hyperlink"/>
          </w:rPr>
          <w:t>http://idbdocs.iadb.org/wsdocs/getdocument.aspx?docnum=943259</w:t>
        </w:r>
      </w:hyperlink>
      <w:r>
        <w:t xml:space="preserve">  </w:t>
      </w:r>
    </w:p>
    <w:p w:rsidR="00F6403F" w:rsidRDefault="00F6403F" w:rsidP="00F6403F">
      <w:pPr>
        <w:jc w:val="both"/>
      </w:pPr>
    </w:p>
    <w:p w:rsidR="00F6403F" w:rsidRDefault="00F6403F" w:rsidP="00F6403F">
      <w:pPr>
        <w:jc w:val="both"/>
      </w:pPr>
      <w:r>
        <w:t xml:space="preserve">____. (2016), Acerca del BID, Información disponível em: </w:t>
      </w:r>
      <w:hyperlink r:id="rId14" w:history="1">
        <w:r w:rsidRPr="00962F36">
          <w:rPr>
            <w:rStyle w:val="Hyperlink"/>
          </w:rPr>
          <w:t>www.iadb.org/es/acerca-denosotros/acerca-del-banco-interamericano-de-desarrollo,5995.html</w:t>
        </w:r>
      </w:hyperlink>
      <w:r>
        <w:t>.</w:t>
      </w:r>
    </w:p>
    <w:p w:rsidR="00F6403F" w:rsidRDefault="00F6403F" w:rsidP="00347D6B">
      <w:pPr>
        <w:jc w:val="both"/>
      </w:pPr>
    </w:p>
    <w:p w:rsidR="00347D6B" w:rsidRPr="00145B99" w:rsidRDefault="00347D6B" w:rsidP="00347D6B">
      <w:pPr>
        <w:jc w:val="both"/>
        <w:rPr>
          <w:lang w:val="en-US"/>
        </w:rPr>
      </w:pPr>
      <w:r w:rsidRPr="00D43DB9">
        <w:t xml:space="preserve">BUCCI, Maria Paula Dallari. O conceito de política pública em direito. In: Idem (org.).  Políticas públicas: reflexões sobre o conceito jurídico. </w:t>
      </w:r>
      <w:r w:rsidRPr="00145B99">
        <w:rPr>
          <w:lang w:val="en-US"/>
        </w:rPr>
        <w:t>São Paulo: Saraiva, 2008.</w:t>
      </w:r>
    </w:p>
    <w:p w:rsidR="00347D6B" w:rsidRPr="00145B99" w:rsidRDefault="00347D6B" w:rsidP="00347D6B">
      <w:pPr>
        <w:jc w:val="both"/>
        <w:rPr>
          <w:lang w:val="en-US"/>
        </w:rPr>
      </w:pPr>
    </w:p>
    <w:p w:rsidR="008F10F0" w:rsidRPr="00030DEE" w:rsidRDefault="008F10F0" w:rsidP="008F10F0">
      <w:pPr>
        <w:pStyle w:val="NormalWeb"/>
        <w:spacing w:before="0" w:beforeAutospacing="0" w:after="200" w:afterAutospacing="0"/>
        <w:jc w:val="both"/>
      </w:pPr>
      <w:r w:rsidRPr="00F33D31">
        <w:rPr>
          <w:bCs/>
          <w:color w:val="000000"/>
          <w:lang w:val="en-US"/>
        </w:rPr>
        <w:t xml:space="preserve">BUSSO, Anabella. </w:t>
      </w:r>
      <w:r w:rsidRPr="00030DEE">
        <w:rPr>
          <w:bCs/>
          <w:color w:val="000000"/>
          <w:lang w:val="en-US"/>
        </w:rPr>
        <w:t xml:space="preserve">Ups and downs of Argentinean foreign policy in democracy (1983-2013): The impact of domestic constraints. </w:t>
      </w:r>
      <w:r w:rsidRPr="00030DEE">
        <w:rPr>
          <w:bCs/>
          <w:color w:val="000000"/>
        </w:rPr>
        <w:t>Estud. int. (Santiago, en línea),  Santiago ,  v. 46, n. 177, p. 9-33,  enero  2014 .   </w:t>
      </w:r>
      <w:r w:rsidRPr="00030DEE">
        <w:rPr>
          <w:bCs/>
          <w:color w:val="000000"/>
          <w:lang w:val="en-US"/>
        </w:rPr>
        <w:t>Disponible en &lt;http://www.scielo.cl/scielo.php?script=sci_arttext&amp;pid=S0719-</w:t>
      </w:r>
      <w:r w:rsidRPr="00030DEE">
        <w:rPr>
          <w:bCs/>
          <w:color w:val="000000"/>
          <w:lang w:val="en-US"/>
        </w:rPr>
        <w:lastRenderedPageBreak/>
        <w:t>37692014000100001&amp;lng=es&amp;nrm=iso&gt;. accedido en  06  sept.  2017.  </w:t>
      </w:r>
      <w:hyperlink r:id="rId15" w:history="1">
        <w:r w:rsidRPr="00030DEE">
          <w:rPr>
            <w:rStyle w:val="Hyperlink"/>
            <w:bCs/>
            <w:color w:val="1155CC"/>
          </w:rPr>
          <w:t>http://dx.doi.org/10.5354/0719-3769.2014.30867</w:t>
        </w:r>
      </w:hyperlink>
      <w:r w:rsidRPr="00030DEE">
        <w:rPr>
          <w:bCs/>
          <w:color w:val="000000"/>
        </w:rPr>
        <w:t>.</w:t>
      </w:r>
    </w:p>
    <w:p w:rsidR="00795C11" w:rsidRPr="00795C11" w:rsidRDefault="00795C11" w:rsidP="00795C11">
      <w:pPr>
        <w:jc w:val="both"/>
      </w:pPr>
      <w:r w:rsidRPr="00795C11">
        <w:rPr>
          <w:rFonts w:eastAsiaTheme="minorHAnsi"/>
        </w:rPr>
        <w:t xml:space="preserve">CAMERLO, Marcelo. GABINETES DE PARTIDO ÚNICO Y DEMOCRACIAS PRESIDENCIALES. INDAGACIONES A PARTIR DEL CASO ARGENTINO. </w:t>
      </w:r>
      <w:r w:rsidRPr="00795C11">
        <w:rPr>
          <w:rFonts w:eastAsiaTheme="minorHAnsi"/>
          <w:b/>
        </w:rPr>
        <w:t>América Latina Hoy</w:t>
      </w:r>
      <w:r w:rsidRPr="00795C11">
        <w:rPr>
          <w:rFonts w:eastAsiaTheme="minorHAnsi"/>
        </w:rPr>
        <w:t>, vol. 64, -, 2013, pp. 119-142</w:t>
      </w:r>
    </w:p>
    <w:p w:rsidR="00795C11" w:rsidRDefault="00795C11" w:rsidP="00347D6B">
      <w:pPr>
        <w:jc w:val="both"/>
        <w:rPr>
          <w:color w:val="000000"/>
          <w:szCs w:val="20"/>
        </w:rPr>
      </w:pPr>
    </w:p>
    <w:p w:rsidR="00F6403F" w:rsidRPr="00F6403F" w:rsidRDefault="00F6403F" w:rsidP="00F6403F">
      <w:pPr>
        <w:jc w:val="both"/>
        <w:rPr>
          <w:sz w:val="28"/>
        </w:rPr>
      </w:pPr>
      <w:r w:rsidRPr="00F6403F">
        <w:rPr>
          <w:color w:val="222222"/>
          <w:szCs w:val="22"/>
          <w:shd w:val="clear" w:color="auto" w:fill="FFFFFF"/>
        </w:rPr>
        <w:t>CARCEDO, Juan Facundo. Organismos internacionales y actores subnacionales: el accionar del BID y el BIRF en la provincia de Buenos Aires. In: </w:t>
      </w:r>
      <w:r w:rsidRPr="00F6403F">
        <w:rPr>
          <w:b/>
          <w:bCs/>
          <w:color w:val="222222"/>
          <w:szCs w:val="22"/>
          <w:shd w:val="clear" w:color="auto" w:fill="FFFFFF"/>
        </w:rPr>
        <w:t>VIII Congreso de Relaciones Internacionales (La Plata, 2016)</w:t>
      </w:r>
      <w:r w:rsidRPr="00F6403F">
        <w:rPr>
          <w:color w:val="222222"/>
          <w:szCs w:val="22"/>
          <w:shd w:val="clear" w:color="auto" w:fill="FFFFFF"/>
        </w:rPr>
        <w:t>. 2016.</w:t>
      </w:r>
    </w:p>
    <w:p w:rsidR="00F6403F" w:rsidRDefault="00F6403F" w:rsidP="00347D6B">
      <w:pPr>
        <w:jc w:val="both"/>
        <w:rPr>
          <w:color w:val="000000"/>
          <w:szCs w:val="20"/>
        </w:rPr>
      </w:pPr>
    </w:p>
    <w:p w:rsidR="00746E43" w:rsidRPr="00746E43" w:rsidRDefault="00746E43" w:rsidP="00746E43">
      <w:pPr>
        <w:jc w:val="both"/>
      </w:pPr>
      <w:r w:rsidRPr="00746E43">
        <w:rPr>
          <w:color w:val="222222"/>
          <w:shd w:val="clear" w:color="auto" w:fill="FFFFFF"/>
        </w:rPr>
        <w:t>CATTERBERG, Gabriela; PALANZA, Valeria. ARGENTINA: DISPERSIÓN DE LA OPOSICIÓN Y EL AUGE DE CRISTINA FERNÁNDEZ DE KlRCHNER. </w:t>
      </w:r>
      <w:r w:rsidRPr="00746E43">
        <w:rPr>
          <w:b/>
          <w:bCs/>
          <w:color w:val="222222"/>
          <w:shd w:val="clear" w:color="auto" w:fill="FFFFFF"/>
        </w:rPr>
        <w:t>Revista de ciencia política (Santiago)</w:t>
      </w:r>
      <w:r w:rsidRPr="00746E43">
        <w:rPr>
          <w:color w:val="222222"/>
          <w:shd w:val="clear" w:color="auto" w:fill="FFFFFF"/>
        </w:rPr>
        <w:t>, v. 32, n. 1, p. 3-30, 2012.</w:t>
      </w:r>
    </w:p>
    <w:p w:rsidR="00347D6B" w:rsidRDefault="00347D6B" w:rsidP="00347D6B">
      <w:pPr>
        <w:jc w:val="both"/>
        <w:rPr>
          <w:color w:val="000000"/>
          <w:szCs w:val="20"/>
        </w:rPr>
      </w:pPr>
      <w:r w:rsidRPr="00B120A7">
        <w:rPr>
          <w:color w:val="000000"/>
          <w:szCs w:val="20"/>
        </w:rPr>
        <w:t>CERVO, Amado Luiz. Sob o signo neoliberal: as relações internacionais da América Latina.</w:t>
      </w:r>
      <w:r w:rsidRPr="00B120A7">
        <w:rPr>
          <w:b/>
          <w:bCs/>
          <w:color w:val="000000"/>
          <w:szCs w:val="20"/>
        </w:rPr>
        <w:t> Rev. bras. polít. int.</w:t>
      </w:r>
      <w:r w:rsidRPr="00B120A7">
        <w:rPr>
          <w:color w:val="000000"/>
          <w:szCs w:val="20"/>
        </w:rPr>
        <w:t>,  Brasília ,  v. 43, n. 2, p. 5-27,  Dec.  2000.</w:t>
      </w:r>
    </w:p>
    <w:p w:rsidR="00347D6B" w:rsidRPr="00B76A3E" w:rsidRDefault="00347D6B" w:rsidP="00347D6B">
      <w:pPr>
        <w:jc w:val="both"/>
        <w:rPr>
          <w:sz w:val="32"/>
        </w:rPr>
      </w:pPr>
    </w:p>
    <w:p w:rsidR="008F10F0" w:rsidRPr="00D43DB9" w:rsidRDefault="008F10F0" w:rsidP="008F10F0">
      <w:pPr>
        <w:jc w:val="both"/>
      </w:pPr>
      <w:r w:rsidRPr="00D43DB9">
        <w:t xml:space="preserve">COELHO, André; SANTOS, Vinicius. “Conectando o doméstico e o internacional: como a instabilidade presidencial e a ideologia influenciam a Análise de Política Externa na América Latina”. </w:t>
      </w:r>
      <w:r w:rsidRPr="00D43DB9">
        <w:rPr>
          <w:b/>
        </w:rPr>
        <w:t xml:space="preserve">Trabalho apresentado no 41° Encontro Anual da Associação Nacional de Pós-graduação em Ciências Sociais. </w:t>
      </w:r>
      <w:r w:rsidRPr="00D43DB9">
        <w:t>Caxambu, MG. 2016.</w:t>
      </w:r>
    </w:p>
    <w:p w:rsidR="008F10F0" w:rsidRDefault="008F10F0" w:rsidP="008F10F0">
      <w:pPr>
        <w:jc w:val="both"/>
      </w:pPr>
    </w:p>
    <w:p w:rsidR="003305B9" w:rsidRPr="0040454A" w:rsidRDefault="003305B9" w:rsidP="003305B9">
      <w:pPr>
        <w:jc w:val="both"/>
        <w:rPr>
          <w:rFonts w:eastAsiaTheme="minorHAnsi"/>
        </w:rPr>
      </w:pPr>
      <w:r w:rsidRPr="0040454A">
        <w:rPr>
          <w:rFonts w:eastAsiaTheme="minorHAnsi"/>
        </w:rPr>
        <w:t xml:space="preserve">CPDOC, ACERVO. VERBETE BIOGRÁFICO. Sérgio de Oliveira Cabral Santos Filho. Disponível em: </w:t>
      </w:r>
      <w:hyperlink r:id="rId16" w:history="1">
        <w:r w:rsidRPr="0040454A">
          <w:rPr>
            <w:rStyle w:val="Hyperlink"/>
            <w:rFonts w:eastAsiaTheme="minorHAnsi"/>
          </w:rPr>
          <w:t>http://www.fgv.br/cpdoc/acervo/dicionarios/verbete-biografico/sergio-de-oliveira-cabral-santos-filho</w:t>
        </w:r>
      </w:hyperlink>
      <w:r w:rsidRPr="0040454A">
        <w:rPr>
          <w:rFonts w:eastAsiaTheme="minorHAnsi"/>
        </w:rPr>
        <w:t xml:space="preserve"> . Acessado em: 09 – 01 – 2018. </w:t>
      </w:r>
    </w:p>
    <w:p w:rsidR="003305B9" w:rsidRDefault="003305B9" w:rsidP="008F10F0">
      <w:pPr>
        <w:jc w:val="both"/>
      </w:pPr>
    </w:p>
    <w:p w:rsidR="008F10F0" w:rsidRPr="004210E8" w:rsidRDefault="008F10F0" w:rsidP="008F10F0">
      <w:pPr>
        <w:pStyle w:val="Pr-formataoHTML"/>
        <w:shd w:val="clear" w:color="auto" w:fill="FFFFFF"/>
        <w:jc w:val="both"/>
        <w:rPr>
          <w:rFonts w:ascii="Times New Roman" w:hAnsi="Times New Roman" w:cs="Times New Roman"/>
          <w:b/>
          <w:color w:val="212121"/>
          <w:sz w:val="24"/>
          <w:szCs w:val="24"/>
        </w:rPr>
      </w:pPr>
      <w:r w:rsidRPr="004210E8">
        <w:rPr>
          <w:rFonts w:ascii="Times New Roman" w:hAnsi="Times New Roman" w:cs="Times New Roman"/>
          <w:color w:val="000000"/>
          <w:sz w:val="24"/>
          <w:szCs w:val="24"/>
        </w:rPr>
        <w:t>DE LUCA, MIGUEL; MALAMUD, ANDRÉS. ARGENTINA: TURBULENCIA ECONÓMICA, POLARIZACIÓN SOCIAL Y REALINEAMIENTO POLÍTICO.</w:t>
      </w:r>
      <w:r w:rsidRPr="004210E8">
        <w:rPr>
          <w:rFonts w:ascii="Times New Roman" w:hAnsi="Times New Roman" w:cs="Times New Roman"/>
          <w:b/>
          <w:bCs/>
          <w:color w:val="000000"/>
          <w:sz w:val="24"/>
          <w:szCs w:val="24"/>
        </w:rPr>
        <w:t> Rev. cienc. polít. (Santiago)</w:t>
      </w:r>
      <w:r w:rsidRPr="004210E8">
        <w:rPr>
          <w:rFonts w:ascii="Times New Roman" w:hAnsi="Times New Roman" w:cs="Times New Roman"/>
          <w:color w:val="000000"/>
          <w:sz w:val="24"/>
          <w:szCs w:val="24"/>
        </w:rPr>
        <w:t>,  Santiago ,  v. 30, n. 2, p. 173-189,    2010 .</w:t>
      </w:r>
    </w:p>
    <w:p w:rsidR="008F10F0" w:rsidRDefault="008F10F0" w:rsidP="008F10F0">
      <w:pPr>
        <w:jc w:val="both"/>
        <w:rPr>
          <w:color w:val="222222"/>
          <w:shd w:val="clear" w:color="auto" w:fill="FFFFFF"/>
        </w:rPr>
      </w:pPr>
    </w:p>
    <w:p w:rsidR="008F10F0" w:rsidRPr="00D43DB9" w:rsidRDefault="008F10F0" w:rsidP="008F10F0">
      <w:pPr>
        <w:jc w:val="both"/>
        <w:rPr>
          <w:lang w:val="en-US"/>
        </w:rPr>
      </w:pPr>
      <w:r w:rsidRPr="00D43DB9">
        <w:t xml:space="preserve">DELPEUCH, Thierry. L'analyse des transferts internationaux de politiques publiques: un état de l'art. </w:t>
      </w:r>
      <w:r w:rsidRPr="002E7B74">
        <w:rPr>
          <w:b/>
          <w:lang w:val="en-US"/>
        </w:rPr>
        <w:t xml:space="preserve">Centre d’études et de recherches internationales Sciences Politiques. </w:t>
      </w:r>
      <w:r w:rsidRPr="007C73EA">
        <w:rPr>
          <w:b/>
          <w:lang w:val="en-US"/>
        </w:rPr>
        <w:t>Questions de recherche / Research in question</w:t>
      </w:r>
      <w:r w:rsidRPr="007C73EA">
        <w:rPr>
          <w:lang w:val="en-US"/>
        </w:rPr>
        <w:t xml:space="preserve"> – n° 27 – Décembre. </w:t>
      </w:r>
      <w:r w:rsidRPr="00D43DB9">
        <w:rPr>
          <w:lang w:val="en-US"/>
        </w:rPr>
        <w:t>2008.</w:t>
      </w:r>
    </w:p>
    <w:p w:rsidR="008F10F0" w:rsidRPr="00D43DB9" w:rsidRDefault="008F10F0" w:rsidP="008F10F0">
      <w:pPr>
        <w:jc w:val="both"/>
        <w:rPr>
          <w:lang w:val="en-US"/>
        </w:rPr>
      </w:pPr>
    </w:p>
    <w:p w:rsidR="008F10F0" w:rsidRPr="00D43DB9" w:rsidRDefault="008F10F0" w:rsidP="008F10F0">
      <w:pPr>
        <w:jc w:val="both"/>
        <w:rPr>
          <w:color w:val="000000"/>
        </w:rPr>
      </w:pPr>
      <w:r w:rsidRPr="00D43DB9">
        <w:rPr>
          <w:lang w:val="en-US"/>
        </w:rPr>
        <w:t>_____.</w:t>
      </w:r>
      <w:r w:rsidRPr="00D43DB9">
        <w:rPr>
          <w:color w:val="000000"/>
          <w:lang w:val="en-US"/>
        </w:rPr>
        <w:t xml:space="preserve">Perforated Sovereignties: Towards a Typology of New Actors in International Relations. In MICHELMANN, Hans J; SOLDATOS, Panayotis. </w:t>
      </w:r>
      <w:r w:rsidRPr="00D43DB9">
        <w:rPr>
          <w:b/>
          <w:color w:val="000000"/>
          <w:lang w:val="en-US"/>
        </w:rPr>
        <w:t xml:space="preserve">Federalism And International Relations The Role Of Subnational Units. </w:t>
      </w:r>
      <w:r w:rsidRPr="00D43DB9">
        <w:rPr>
          <w:b/>
          <w:color w:val="000000"/>
        </w:rPr>
        <w:t>Clarendon press</w:t>
      </w:r>
      <w:r w:rsidRPr="00D43DB9">
        <w:rPr>
          <w:color w:val="000000"/>
        </w:rPr>
        <w:t xml:space="preserve"> · OXFORD. 2001</w:t>
      </w:r>
    </w:p>
    <w:p w:rsidR="008F10F0" w:rsidRPr="00D43DB9" w:rsidRDefault="008F10F0" w:rsidP="008F10F0">
      <w:pPr>
        <w:jc w:val="both"/>
        <w:rPr>
          <w:color w:val="000000"/>
        </w:rPr>
      </w:pPr>
    </w:p>
    <w:p w:rsidR="008F10F0" w:rsidRPr="00D43DB9" w:rsidRDefault="008F10F0" w:rsidP="008F10F0">
      <w:pPr>
        <w:jc w:val="both"/>
      </w:pPr>
      <w:r w:rsidRPr="00D43DB9">
        <w:rPr>
          <w:shd w:val="clear" w:color="auto" w:fill="FFFFFF"/>
        </w:rPr>
        <w:t>DE LIMA, Luciana Dias et al. Interdependência federativa na política de saúde: a implementação das Unidades de Pronto Atendimento no estado do Rio de Janeiro, Brasil. </w:t>
      </w:r>
      <w:r w:rsidRPr="00D43DB9">
        <w:rPr>
          <w:b/>
          <w:bCs/>
          <w:shd w:val="clear" w:color="auto" w:fill="FFFFFF"/>
        </w:rPr>
        <w:t>Revista Ciência &amp; Saúde Coletiva</w:t>
      </w:r>
      <w:r w:rsidRPr="00D43DB9">
        <w:rPr>
          <w:shd w:val="clear" w:color="auto" w:fill="FFFFFF"/>
        </w:rPr>
        <w:t>, v. 20, n. 2, 2015.</w:t>
      </w:r>
    </w:p>
    <w:p w:rsidR="008F10F0" w:rsidRPr="00D43DB9" w:rsidRDefault="008F10F0" w:rsidP="008F10F0">
      <w:pPr>
        <w:jc w:val="both"/>
      </w:pPr>
    </w:p>
    <w:p w:rsidR="008F10F0" w:rsidRPr="00D43DB9" w:rsidRDefault="008F10F0" w:rsidP="008F10F0">
      <w:pPr>
        <w:jc w:val="both"/>
        <w:rPr>
          <w:lang w:val="en-US"/>
        </w:rPr>
      </w:pPr>
      <w:r w:rsidRPr="002E7B74">
        <w:t xml:space="preserve">DUSSAUGE-LAGUNA, M.I., 2012. </w:t>
      </w:r>
      <w:r w:rsidRPr="00D43DB9">
        <w:rPr>
          <w:lang w:val="en-US"/>
        </w:rPr>
        <w:t xml:space="preserve">On the past and future of policy transfer research: Benson and Jordan revisited. </w:t>
      </w:r>
      <w:r w:rsidRPr="00D43DB9">
        <w:rPr>
          <w:b/>
          <w:lang w:val="en-US"/>
        </w:rPr>
        <w:t>Political studies review</w:t>
      </w:r>
      <w:r w:rsidRPr="00D43DB9">
        <w:rPr>
          <w:lang w:val="en-US"/>
        </w:rPr>
        <w:t>, 10 (3), 313_324.</w:t>
      </w:r>
    </w:p>
    <w:p w:rsidR="008F10F0" w:rsidRPr="00D43DB9" w:rsidRDefault="008F10F0" w:rsidP="008F10F0">
      <w:pPr>
        <w:jc w:val="both"/>
        <w:rPr>
          <w:lang w:val="en-US"/>
        </w:rPr>
      </w:pPr>
    </w:p>
    <w:p w:rsidR="008F10F0" w:rsidRPr="00D43DB9" w:rsidRDefault="008F10F0" w:rsidP="008F10F0">
      <w:pPr>
        <w:jc w:val="both"/>
        <w:rPr>
          <w:shd w:val="clear" w:color="auto" w:fill="FFFFFF"/>
          <w:lang w:val="en-US"/>
        </w:rPr>
      </w:pPr>
      <w:r w:rsidRPr="00D43DB9">
        <w:rPr>
          <w:shd w:val="clear" w:color="auto" w:fill="FFFFFF"/>
          <w:lang w:val="en-US"/>
        </w:rPr>
        <w:t xml:space="preserve">ELAZAR, Daniel J. </w:t>
      </w:r>
      <w:r w:rsidRPr="00D43DB9">
        <w:rPr>
          <w:b/>
          <w:shd w:val="clear" w:color="auto" w:fill="FFFFFF"/>
          <w:lang w:val="en-US"/>
        </w:rPr>
        <w:t>Exploring federalism</w:t>
      </w:r>
      <w:r w:rsidRPr="00D43DB9">
        <w:rPr>
          <w:shd w:val="clear" w:color="auto" w:fill="FFFFFF"/>
          <w:lang w:val="en-US"/>
        </w:rPr>
        <w:t>. Tuscaloosa: University of Alabama Press, 1991.</w:t>
      </w:r>
    </w:p>
    <w:p w:rsidR="008F10F0" w:rsidRPr="00D43DB9" w:rsidRDefault="008F10F0" w:rsidP="008F10F0">
      <w:pPr>
        <w:jc w:val="both"/>
        <w:rPr>
          <w:shd w:val="clear" w:color="auto" w:fill="FFFFFF"/>
          <w:lang w:val="en-US"/>
        </w:rPr>
      </w:pPr>
    </w:p>
    <w:p w:rsidR="008F10F0" w:rsidRPr="00D43DB9" w:rsidRDefault="008F10F0" w:rsidP="008F10F0">
      <w:pPr>
        <w:jc w:val="both"/>
        <w:rPr>
          <w:lang w:val="en-US"/>
        </w:rPr>
      </w:pPr>
      <w:r w:rsidRPr="00D43DB9">
        <w:rPr>
          <w:lang w:val="en-US"/>
        </w:rPr>
        <w:lastRenderedPageBreak/>
        <w:t xml:space="preserve">ELKINS, Zachary; SIMMONS, Beth. </w:t>
      </w:r>
      <w:r w:rsidRPr="00D43DB9">
        <w:rPr>
          <w:b/>
          <w:lang w:val="en-US"/>
        </w:rPr>
        <w:t>On Waves, Clusters, and Diffusion: A Conceptual Framework</w:t>
      </w:r>
      <w:r w:rsidRPr="00D43DB9">
        <w:rPr>
          <w:lang w:val="en-US"/>
        </w:rPr>
        <w:t>.The Annals of the American Academy, AAPSS, 589, 2005. p. 33-51.</w:t>
      </w:r>
    </w:p>
    <w:p w:rsidR="008F10F0" w:rsidRPr="00D43DB9" w:rsidRDefault="008F10F0" w:rsidP="008F10F0">
      <w:pPr>
        <w:jc w:val="both"/>
        <w:rPr>
          <w:lang w:val="en-US"/>
        </w:rPr>
      </w:pPr>
    </w:p>
    <w:p w:rsidR="008F10F0" w:rsidRPr="00D43DB9" w:rsidRDefault="008F10F0" w:rsidP="008F10F0">
      <w:pPr>
        <w:autoSpaceDE w:val="0"/>
        <w:autoSpaceDN w:val="0"/>
        <w:adjustRightInd w:val="0"/>
        <w:jc w:val="both"/>
        <w:rPr>
          <w:color w:val="000000"/>
          <w:lang w:val="en-US"/>
        </w:rPr>
      </w:pPr>
      <w:r w:rsidRPr="00D43DB9">
        <w:rPr>
          <w:color w:val="000000"/>
          <w:lang w:val="en-US"/>
        </w:rPr>
        <w:t>EVANS, M ;DAVIES, J. Understanding policy transfer: a multi-level, multi-disciplinary perspective</w:t>
      </w:r>
      <w:r w:rsidRPr="00D43DB9">
        <w:rPr>
          <w:b/>
          <w:bCs/>
          <w:color w:val="000000"/>
          <w:lang w:val="en-US"/>
        </w:rPr>
        <w:t xml:space="preserve">. </w:t>
      </w:r>
      <w:r w:rsidRPr="00D43DB9">
        <w:rPr>
          <w:b/>
          <w:bCs/>
          <w:color w:val="000000"/>
        </w:rPr>
        <w:t>Public Administration</w:t>
      </w:r>
      <w:r w:rsidRPr="00D43DB9">
        <w:rPr>
          <w:color w:val="000000"/>
        </w:rPr>
        <w:t xml:space="preserve">, v. 77, n.2, p.361-385. 1999. Disponível em: &lt; http://onlinelibrary.wiley.com/doi/10.1111/1467-9299.00158/pdf&gt;. </w:t>
      </w:r>
      <w:r w:rsidRPr="00D43DB9">
        <w:rPr>
          <w:color w:val="000000"/>
          <w:lang w:val="en-US"/>
        </w:rPr>
        <w:t>Acesso em: 18.jul.2010</w:t>
      </w:r>
    </w:p>
    <w:p w:rsidR="008F10F0" w:rsidRPr="00D43DB9" w:rsidRDefault="008F10F0" w:rsidP="008F10F0">
      <w:pPr>
        <w:autoSpaceDE w:val="0"/>
        <w:autoSpaceDN w:val="0"/>
        <w:adjustRightInd w:val="0"/>
        <w:jc w:val="both"/>
        <w:rPr>
          <w:color w:val="000000"/>
          <w:lang w:val="en-US"/>
        </w:rPr>
      </w:pPr>
    </w:p>
    <w:p w:rsidR="008F10F0" w:rsidRPr="00D43DB9" w:rsidRDefault="008F10F0" w:rsidP="008F10F0">
      <w:pPr>
        <w:autoSpaceDE w:val="0"/>
        <w:autoSpaceDN w:val="0"/>
        <w:adjustRightInd w:val="0"/>
        <w:jc w:val="both"/>
        <w:rPr>
          <w:color w:val="000000"/>
          <w:lang w:val="en-US"/>
        </w:rPr>
      </w:pPr>
      <w:r w:rsidRPr="00D43DB9">
        <w:rPr>
          <w:color w:val="000000"/>
          <w:lang w:val="en-US"/>
        </w:rPr>
        <w:t>EVANS, M. Is Policy Transfer Rational Policy Making?, In. EVANS, M</w:t>
      </w:r>
      <w:r w:rsidRPr="00D43DB9">
        <w:rPr>
          <w:b/>
          <w:bCs/>
          <w:color w:val="000000"/>
          <w:lang w:val="en-US"/>
        </w:rPr>
        <w:t>. Policy Transfer in a Global Perspective</w:t>
      </w:r>
      <w:r w:rsidRPr="00D43DB9">
        <w:rPr>
          <w:i/>
          <w:iCs/>
          <w:color w:val="000000"/>
          <w:lang w:val="en-US"/>
        </w:rPr>
        <w:t xml:space="preserve">. </w:t>
      </w:r>
      <w:r w:rsidRPr="00D43DB9">
        <w:rPr>
          <w:color w:val="000000"/>
          <w:lang w:val="en-US"/>
        </w:rPr>
        <w:t>Inglaterra: Ashgate Publishing Limited, 2004(a). p.1-9.</w:t>
      </w:r>
    </w:p>
    <w:p w:rsidR="008F10F0" w:rsidRPr="00D43DB9" w:rsidRDefault="008F10F0" w:rsidP="008F10F0">
      <w:pPr>
        <w:autoSpaceDE w:val="0"/>
        <w:autoSpaceDN w:val="0"/>
        <w:adjustRightInd w:val="0"/>
        <w:jc w:val="both"/>
        <w:rPr>
          <w:color w:val="000000"/>
          <w:lang w:val="en-US"/>
        </w:rPr>
      </w:pPr>
    </w:p>
    <w:p w:rsidR="008F10F0" w:rsidRPr="00D43DB9" w:rsidRDefault="008F10F0" w:rsidP="008F10F0">
      <w:pPr>
        <w:autoSpaceDE w:val="0"/>
        <w:autoSpaceDN w:val="0"/>
        <w:adjustRightInd w:val="0"/>
        <w:jc w:val="both"/>
        <w:rPr>
          <w:color w:val="000000"/>
        </w:rPr>
      </w:pPr>
      <w:r w:rsidRPr="00D43DB9">
        <w:rPr>
          <w:color w:val="000000"/>
          <w:lang w:val="en-US"/>
        </w:rPr>
        <w:t xml:space="preserve">EVANS, M. At The Interface Between Theory and Practice- Policy Transfer and Lesson Drawing: Learning from Comparative Public Policy: a Practical Guide Richard Rose. </w:t>
      </w:r>
      <w:r w:rsidRPr="00D43DB9">
        <w:rPr>
          <w:b/>
          <w:bCs/>
          <w:color w:val="000000"/>
        </w:rPr>
        <w:t>Public Administration</w:t>
      </w:r>
      <w:r w:rsidRPr="00D43DB9">
        <w:rPr>
          <w:color w:val="000000"/>
        </w:rPr>
        <w:t>. Oxford: Estados Unidos. v. 84, n. 2. p.479–515.2006. Disponível em: &lt;http://onlinelibrary.wiley.com/doi/10.1111/j.1467-9299.2006.00013.x/abstract&gt; Acesso em: 03. set.2010</w:t>
      </w:r>
    </w:p>
    <w:p w:rsidR="008F10F0" w:rsidRPr="00D43DB9" w:rsidRDefault="008F10F0" w:rsidP="008F10F0">
      <w:pPr>
        <w:autoSpaceDE w:val="0"/>
        <w:autoSpaceDN w:val="0"/>
        <w:adjustRightInd w:val="0"/>
        <w:jc w:val="both"/>
        <w:rPr>
          <w:color w:val="000000"/>
        </w:rPr>
      </w:pPr>
    </w:p>
    <w:p w:rsidR="008F10F0" w:rsidRPr="00D43DB9" w:rsidRDefault="008F10F0" w:rsidP="008F10F0">
      <w:pPr>
        <w:autoSpaceDE w:val="0"/>
        <w:autoSpaceDN w:val="0"/>
        <w:adjustRightInd w:val="0"/>
        <w:jc w:val="both"/>
        <w:rPr>
          <w:color w:val="000000"/>
          <w:lang w:val="en-US"/>
        </w:rPr>
      </w:pPr>
      <w:r w:rsidRPr="00D43DB9">
        <w:rPr>
          <w:color w:val="000000"/>
          <w:lang w:val="en-US"/>
        </w:rPr>
        <w:t xml:space="preserve">EVANS, M. Understanding Policy Transfer. In. EVANS, M. </w:t>
      </w:r>
      <w:r w:rsidRPr="00D43DB9">
        <w:rPr>
          <w:b/>
          <w:bCs/>
          <w:color w:val="000000"/>
          <w:lang w:val="en-US"/>
        </w:rPr>
        <w:t xml:space="preserve">Policy Transfer in a Global Perspective. </w:t>
      </w:r>
      <w:r w:rsidRPr="00D43DB9">
        <w:rPr>
          <w:color w:val="000000"/>
          <w:lang w:val="en-US"/>
        </w:rPr>
        <w:t xml:space="preserve">Inglaterra: Ashgate Publishing Limited, 2004(b). p. 10-42. </w:t>
      </w:r>
    </w:p>
    <w:p w:rsidR="001E412F" w:rsidRDefault="001E412F" w:rsidP="008F10F0">
      <w:pPr>
        <w:autoSpaceDE w:val="0"/>
        <w:autoSpaceDN w:val="0"/>
        <w:adjustRightInd w:val="0"/>
        <w:jc w:val="both"/>
        <w:rPr>
          <w:color w:val="000000"/>
          <w:lang w:val="en-US"/>
        </w:rPr>
      </w:pPr>
    </w:p>
    <w:p w:rsidR="008F10F0" w:rsidRPr="00D43DB9" w:rsidRDefault="008F10F0" w:rsidP="008F10F0">
      <w:pPr>
        <w:autoSpaceDE w:val="0"/>
        <w:autoSpaceDN w:val="0"/>
        <w:adjustRightInd w:val="0"/>
        <w:jc w:val="both"/>
        <w:rPr>
          <w:color w:val="000000"/>
          <w:lang w:val="en-US"/>
        </w:rPr>
      </w:pPr>
      <w:r w:rsidRPr="00D43DB9">
        <w:rPr>
          <w:color w:val="000000"/>
          <w:lang w:val="en-US"/>
        </w:rPr>
        <w:t>EVANS, M. Research Article: Policy Transfer in a Critical Perspective</w:t>
      </w:r>
      <w:r w:rsidRPr="00D43DB9">
        <w:rPr>
          <w:i/>
          <w:iCs/>
          <w:color w:val="000000"/>
          <w:lang w:val="en-US"/>
        </w:rPr>
        <w:t xml:space="preserve">. </w:t>
      </w:r>
      <w:r w:rsidRPr="00D43DB9">
        <w:rPr>
          <w:b/>
          <w:bCs/>
          <w:color w:val="000000"/>
          <w:lang w:val="en-US"/>
        </w:rPr>
        <w:t xml:space="preserve">Policy Studies. </w:t>
      </w:r>
      <w:r w:rsidRPr="00D43DB9">
        <w:rPr>
          <w:color w:val="000000"/>
          <w:lang w:val="en-US"/>
        </w:rPr>
        <w:t xml:space="preserve">v. 30, n. 3. p. 243-268. jun.2009. </w:t>
      </w:r>
    </w:p>
    <w:p w:rsidR="008F10F0" w:rsidRPr="00D43DB9" w:rsidRDefault="008F10F0" w:rsidP="008F10F0">
      <w:pPr>
        <w:autoSpaceDE w:val="0"/>
        <w:autoSpaceDN w:val="0"/>
        <w:adjustRightInd w:val="0"/>
        <w:jc w:val="both"/>
        <w:rPr>
          <w:color w:val="000000"/>
          <w:lang w:val="en-US"/>
        </w:rPr>
      </w:pPr>
    </w:p>
    <w:p w:rsidR="008F10F0" w:rsidRPr="00D43DB9" w:rsidRDefault="008F10F0" w:rsidP="008F10F0">
      <w:pPr>
        <w:jc w:val="both"/>
        <w:rPr>
          <w:lang w:val="en-US"/>
        </w:rPr>
      </w:pPr>
      <w:r w:rsidRPr="00D43DB9">
        <w:rPr>
          <w:lang w:val="en-US"/>
        </w:rPr>
        <w:t xml:space="preserve">EVANS, M; LANA, X. Policy Transfer Between Developing Countries: The Transfer of Bolsa-Escola Programme to Ecuador. In. EVANS,M.(Eds). </w:t>
      </w:r>
      <w:r w:rsidRPr="00D43DB9">
        <w:rPr>
          <w:b/>
          <w:bCs/>
          <w:lang w:val="en-US"/>
        </w:rPr>
        <w:t>Policy Transfer in a Global Perspective</w:t>
      </w:r>
      <w:r w:rsidRPr="00D43DB9">
        <w:rPr>
          <w:lang w:val="en-US"/>
        </w:rPr>
        <w:t>, Inglaterra: Ashgate Publishing Limited, 2004, p. 190-210.</w:t>
      </w:r>
    </w:p>
    <w:p w:rsidR="008F10F0" w:rsidRPr="00D43DB9" w:rsidRDefault="008F10F0" w:rsidP="008F10F0">
      <w:pPr>
        <w:jc w:val="both"/>
        <w:rPr>
          <w:lang w:val="en-US"/>
        </w:rPr>
      </w:pPr>
    </w:p>
    <w:p w:rsidR="008F10F0" w:rsidRPr="00D43DB9" w:rsidRDefault="008F10F0" w:rsidP="008F10F0">
      <w:pPr>
        <w:jc w:val="both"/>
      </w:pPr>
      <w:r w:rsidRPr="00D43DB9">
        <w:t xml:space="preserve">FERNANDES. Antonio Sergio Araujo. Políticas Públicas: Definição evolução e o caso brasileiro na política social. IN DANTAS, Humberto e JUNIOR, José Paulo M. (orgs). </w:t>
      </w:r>
      <w:r w:rsidRPr="00D43DB9">
        <w:rPr>
          <w:b/>
        </w:rPr>
        <w:t>Introdução à política brasileira</w:t>
      </w:r>
      <w:r w:rsidRPr="00D43DB9">
        <w:t>, São Paulo. Paulus. 2007</w:t>
      </w:r>
    </w:p>
    <w:p w:rsidR="008F10F0" w:rsidRPr="00D43DB9" w:rsidRDefault="008F10F0" w:rsidP="008F10F0">
      <w:pPr>
        <w:jc w:val="both"/>
      </w:pPr>
    </w:p>
    <w:p w:rsidR="008F10F0" w:rsidRPr="00D43DB9" w:rsidRDefault="008F10F0" w:rsidP="008F10F0">
      <w:pPr>
        <w:jc w:val="both"/>
        <w:rPr>
          <w:color w:val="000000"/>
        </w:rPr>
      </w:pPr>
      <w:r w:rsidRPr="00D43DB9">
        <w:rPr>
          <w:color w:val="000000"/>
        </w:rPr>
        <w:t>FROIO, Liliana Ramalho and MEDEIROS, Marcelo de Almeida. </w:t>
      </w:r>
      <w:r w:rsidRPr="00D43DB9">
        <w:rPr>
          <w:b/>
          <w:color w:val="000000"/>
        </w:rPr>
        <w:t>A normatização da atividade paradiplomática: Brasil e Argentina em perspectiva comparada</w:t>
      </w:r>
      <w:r w:rsidRPr="00D43DB9">
        <w:rPr>
          <w:color w:val="000000"/>
        </w:rPr>
        <w:t>. In: 3° ENCONTRO NACIONAL ABRI 2011, 3, 2011, São Paulo. Associação Brasileira de Relações Internacionais Instituto de Relações Internacionais – USP.</w:t>
      </w:r>
    </w:p>
    <w:p w:rsidR="008F10F0" w:rsidRPr="00D43DB9" w:rsidRDefault="008F10F0" w:rsidP="008F10F0">
      <w:pPr>
        <w:jc w:val="both"/>
        <w:rPr>
          <w:color w:val="000000"/>
        </w:rPr>
      </w:pPr>
    </w:p>
    <w:p w:rsidR="008F10F0" w:rsidRPr="00D43DB9" w:rsidRDefault="008F10F0" w:rsidP="008F10F0">
      <w:pPr>
        <w:jc w:val="both"/>
        <w:rPr>
          <w:color w:val="000000"/>
        </w:rPr>
      </w:pPr>
      <w:r w:rsidRPr="00D43DB9">
        <w:t xml:space="preserve">GIL, Antonio Carlos. </w:t>
      </w:r>
      <w:r w:rsidRPr="00D43DB9">
        <w:rPr>
          <w:b/>
        </w:rPr>
        <w:t>Métodos e técnicas de pesquisa social</w:t>
      </w:r>
      <w:r w:rsidRPr="00D43DB9">
        <w:t>. 5. ed. São Paulo: Atlas, 1999.</w:t>
      </w:r>
    </w:p>
    <w:p w:rsidR="008F10F0" w:rsidRDefault="008F10F0" w:rsidP="008F10F0">
      <w:pPr>
        <w:jc w:val="both"/>
        <w:rPr>
          <w:color w:val="000000"/>
        </w:rPr>
      </w:pPr>
    </w:p>
    <w:p w:rsidR="00AF4087" w:rsidRDefault="009D0DDD" w:rsidP="008F10F0">
      <w:pPr>
        <w:jc w:val="both"/>
        <w:rPr>
          <w:color w:val="000000"/>
        </w:rPr>
      </w:pPr>
      <w:r w:rsidRPr="009D0DDD">
        <w:rPr>
          <w:color w:val="000000"/>
        </w:rPr>
        <w:t xml:space="preserve">GONÇALVES, Fernanda Cristina Nanci Izidro; DE OLIVEIRA, Patrícia Cabral. A política externa (sub) nacional: um estudo da paradiplomacia do Estado do Rio de Janeiro e de sua relação com o governo federal. </w:t>
      </w:r>
      <w:r w:rsidRPr="009D0DDD">
        <w:rPr>
          <w:b/>
          <w:color w:val="000000"/>
        </w:rPr>
        <w:t>Conjuntura Global</w:t>
      </w:r>
      <w:r w:rsidRPr="009D0DDD">
        <w:rPr>
          <w:color w:val="000000"/>
        </w:rPr>
        <w:t>, v. 6, n. 1, 2017.</w:t>
      </w:r>
    </w:p>
    <w:p w:rsidR="00A03BDA" w:rsidRDefault="00A03BDA" w:rsidP="00A03BDA">
      <w:pPr>
        <w:pStyle w:val="Pr-formataoHTML"/>
        <w:shd w:val="clear" w:color="auto" w:fill="FFFFFF"/>
        <w:jc w:val="both"/>
        <w:rPr>
          <w:rStyle w:val="familyname"/>
          <w:rFonts w:ascii="Times New Roman" w:hAnsi="Times New Roman" w:cs="Times New Roman"/>
          <w:color w:val="000000"/>
          <w:sz w:val="24"/>
          <w:szCs w:val="24"/>
          <w:shd w:val="clear" w:color="auto" w:fill="FFFFFF"/>
        </w:rPr>
      </w:pPr>
    </w:p>
    <w:p w:rsidR="00A03BDA" w:rsidRPr="00030DEE" w:rsidRDefault="00A03BDA" w:rsidP="00A03BDA">
      <w:pPr>
        <w:pStyle w:val="Pr-formataoHTML"/>
        <w:shd w:val="clear" w:color="auto" w:fill="FFFFFF"/>
        <w:jc w:val="both"/>
        <w:rPr>
          <w:rFonts w:ascii="Times New Roman" w:hAnsi="Times New Roman" w:cs="Times New Roman"/>
          <w:color w:val="222222"/>
          <w:sz w:val="24"/>
          <w:szCs w:val="24"/>
          <w:shd w:val="clear" w:color="auto" w:fill="FFFFFF"/>
        </w:rPr>
      </w:pPr>
      <w:r w:rsidRPr="00030DEE">
        <w:rPr>
          <w:rStyle w:val="familyname"/>
          <w:rFonts w:ascii="Times New Roman" w:hAnsi="Times New Roman" w:cs="Times New Roman"/>
          <w:color w:val="000000"/>
          <w:sz w:val="24"/>
          <w:szCs w:val="24"/>
          <w:shd w:val="clear" w:color="auto" w:fill="FFFFFF"/>
        </w:rPr>
        <w:t>GONZÁLEZ-LEANDRI</w:t>
      </w:r>
      <w:r>
        <w:rPr>
          <w:rStyle w:val="Forte"/>
          <w:rFonts w:ascii="Times New Roman" w:hAnsi="Times New Roman"/>
          <w:color w:val="000000"/>
          <w:sz w:val="24"/>
          <w:szCs w:val="24"/>
          <w:shd w:val="clear" w:color="auto" w:fill="FFFFFF"/>
        </w:rPr>
        <w:t xml:space="preserve">, </w:t>
      </w:r>
      <w:r w:rsidRPr="00E3728E">
        <w:rPr>
          <w:rStyle w:val="Forte"/>
          <w:rFonts w:ascii="Times New Roman" w:hAnsi="Times New Roman"/>
          <w:b w:val="0"/>
          <w:color w:val="000000"/>
          <w:sz w:val="24"/>
          <w:szCs w:val="24"/>
          <w:shd w:val="clear" w:color="auto" w:fill="FFFFFF"/>
        </w:rPr>
        <w:t xml:space="preserve">Ricardo et </w:t>
      </w:r>
      <w:r w:rsidRPr="004F08BE">
        <w:rPr>
          <w:rStyle w:val="familyname"/>
          <w:rFonts w:ascii="Times New Roman" w:hAnsi="Times New Roman" w:cs="Times New Roman"/>
          <w:color w:val="000000"/>
          <w:sz w:val="24"/>
          <w:szCs w:val="24"/>
          <w:shd w:val="clear" w:color="auto" w:fill="FFFFFF"/>
        </w:rPr>
        <w:t>MARTÍNEZ,</w:t>
      </w:r>
      <w:r w:rsidRPr="00E3728E">
        <w:rPr>
          <w:rStyle w:val="Forte"/>
          <w:rFonts w:ascii="Times New Roman" w:hAnsi="Times New Roman"/>
          <w:b w:val="0"/>
          <w:color w:val="000000"/>
          <w:sz w:val="24"/>
          <w:szCs w:val="24"/>
          <w:shd w:val="clear" w:color="auto" w:fill="FFFFFF"/>
        </w:rPr>
        <w:t xml:space="preserve"> Elda González</w:t>
      </w:r>
      <w:r w:rsidRPr="00030DEE">
        <w:rPr>
          <w:rStyle w:val="Forte"/>
          <w:rFonts w:ascii="Times New Roman" w:hAnsi="Times New Roman"/>
          <w:color w:val="000000"/>
          <w:sz w:val="24"/>
          <w:szCs w:val="24"/>
          <w:shd w:val="clear" w:color="auto" w:fill="FFFFFF"/>
        </w:rPr>
        <w:t> </w:t>
      </w:r>
      <w:r w:rsidRPr="00030DEE">
        <w:rPr>
          <w:rFonts w:ascii="Times New Roman" w:hAnsi="Times New Roman" w:cs="Times New Roman"/>
          <w:color w:val="000000"/>
          <w:sz w:val="24"/>
          <w:szCs w:val="24"/>
          <w:shd w:val="clear" w:color="auto" w:fill="FFFFFF"/>
        </w:rPr>
        <w:t>, « </w:t>
      </w:r>
      <w:r w:rsidRPr="00030DEE">
        <w:rPr>
          <w:rFonts w:ascii="Times New Roman" w:hAnsi="Times New Roman" w:cs="Times New Roman"/>
          <w:color w:val="000000"/>
          <w:sz w:val="24"/>
          <w:szCs w:val="24"/>
          <w:shd w:val="clear" w:color="auto" w:fill="FFFFFF"/>
          <w:lang w:val="es-ES"/>
        </w:rPr>
        <w:t>El triunfo de Cristina Kirchner y el futuro de la Argentina</w:t>
      </w:r>
      <w:r w:rsidRPr="00030DEE">
        <w:rPr>
          <w:rFonts w:ascii="Times New Roman" w:hAnsi="Times New Roman" w:cs="Times New Roman"/>
          <w:color w:val="000000"/>
          <w:sz w:val="24"/>
          <w:szCs w:val="24"/>
          <w:shd w:val="clear" w:color="auto" w:fill="FFFFFF"/>
        </w:rPr>
        <w:t> », </w:t>
      </w:r>
      <w:r w:rsidRPr="00030DEE">
        <w:rPr>
          <w:rStyle w:val="nfase"/>
          <w:rFonts w:ascii="Times New Roman" w:hAnsi="Times New Roman"/>
          <w:color w:val="000000"/>
          <w:sz w:val="24"/>
          <w:szCs w:val="24"/>
          <w:shd w:val="clear" w:color="auto" w:fill="FFFFFF"/>
        </w:rPr>
        <w:t>Cahiers des Amériques latines</w:t>
      </w:r>
      <w:r w:rsidRPr="00030DEE">
        <w:rPr>
          <w:rFonts w:ascii="Times New Roman" w:hAnsi="Times New Roman" w:cs="Times New Roman"/>
          <w:color w:val="000000"/>
          <w:sz w:val="24"/>
          <w:szCs w:val="24"/>
          <w:shd w:val="clear" w:color="auto" w:fill="FFFFFF"/>
        </w:rPr>
        <w:t> [En ligne], 53 | 2006, mis en ligne le 31 janvier 2013, consulté le 13 septembre 2017. URL : http://cal.revues.org/1681</w:t>
      </w:r>
    </w:p>
    <w:p w:rsidR="009D0DDD" w:rsidRPr="00D43DB9" w:rsidRDefault="009D0DDD" w:rsidP="008F10F0">
      <w:pPr>
        <w:jc w:val="both"/>
        <w:rPr>
          <w:color w:val="000000"/>
        </w:rPr>
      </w:pPr>
    </w:p>
    <w:p w:rsidR="008F10F0" w:rsidRPr="00D43DB9" w:rsidRDefault="008F10F0" w:rsidP="008F10F0">
      <w:pPr>
        <w:jc w:val="both"/>
        <w:rPr>
          <w:bCs/>
          <w:kern w:val="36"/>
        </w:rPr>
      </w:pPr>
      <w:r w:rsidRPr="00D43DB9">
        <w:rPr>
          <w:bCs/>
          <w:kern w:val="36"/>
        </w:rPr>
        <w:lastRenderedPageBreak/>
        <w:t xml:space="preserve">GOVERNO DO ESTADO DO RIO DE JANEIRO. </w:t>
      </w:r>
      <w:r w:rsidRPr="00D43DB9">
        <w:rPr>
          <w:b/>
          <w:bCs/>
          <w:kern w:val="36"/>
        </w:rPr>
        <w:t>Resolução Casa Civil n° 150</w:t>
      </w:r>
      <w:r w:rsidRPr="00D43DB9">
        <w:rPr>
          <w:bCs/>
          <w:kern w:val="36"/>
        </w:rPr>
        <w:t>. 09 de julho de 2009.</w:t>
      </w:r>
    </w:p>
    <w:p w:rsidR="008F10F0" w:rsidRPr="00D43DB9" w:rsidRDefault="008F10F0" w:rsidP="008F10F0">
      <w:pPr>
        <w:jc w:val="both"/>
      </w:pPr>
    </w:p>
    <w:p w:rsidR="008F10F0" w:rsidRPr="00D43DB9" w:rsidRDefault="008F10F0" w:rsidP="008F10F0">
      <w:pPr>
        <w:rPr>
          <w:lang w:val="en-US"/>
        </w:rPr>
      </w:pPr>
      <w:r w:rsidRPr="00D43DB9">
        <w:rPr>
          <w:lang w:val="en-US"/>
        </w:rPr>
        <w:t xml:space="preserve">GRAHAM, Erin; SHIPAN, Charles R. &amp; VOLDEN, Craig (2008) “The Diffusion of Policy Diffusion Research”. </w:t>
      </w:r>
    </w:p>
    <w:p w:rsidR="008F10F0" w:rsidRDefault="008F10F0" w:rsidP="008F10F0">
      <w:pPr>
        <w:jc w:val="both"/>
        <w:rPr>
          <w:lang w:val="en-US"/>
        </w:rPr>
      </w:pPr>
    </w:p>
    <w:p w:rsidR="001F013A" w:rsidRDefault="001F013A" w:rsidP="001F013A">
      <w:pPr>
        <w:jc w:val="both"/>
      </w:pPr>
      <w:r>
        <w:t>IGLESIAS, V. (2008), La dimensión internacional de los créditos directos del Banco Interamericano de Desarrollo y el Banco Mundial a las provincias. Notas del caso argentino, en: Iglesias, Eduardo (2008), Las provincias argentinas en el escenario internacional. Desafíos y obstáculos de un sistema federal, 1º ed., Buenos Aires: Programa de las Naciones Unidas para el Desarrollo – PNUD</w:t>
      </w:r>
    </w:p>
    <w:p w:rsidR="001F013A" w:rsidRDefault="001F013A" w:rsidP="008F10F0">
      <w:pPr>
        <w:jc w:val="both"/>
      </w:pPr>
    </w:p>
    <w:p w:rsidR="008F10F0" w:rsidRPr="00D43DB9" w:rsidRDefault="008F10F0" w:rsidP="008F10F0">
      <w:pPr>
        <w:jc w:val="both"/>
        <w:rPr>
          <w:lang w:val="en-US"/>
        </w:rPr>
      </w:pPr>
      <w:r w:rsidRPr="00BB28BF">
        <w:t xml:space="preserve">IGLESIAS,  Eduardo; MERKE, Federico;  IGLESIAS, valeria.  </w:t>
      </w:r>
      <w:r w:rsidRPr="00D43DB9">
        <w:rPr>
          <w:lang w:val="en-US"/>
        </w:rPr>
        <w:t>Republic of Argentina in: foreign relations in federal countries. Hans Michelmann; senior editor John Kincaid. McGill-Queen’s University Press 2009.</w:t>
      </w:r>
    </w:p>
    <w:p w:rsidR="008F10F0" w:rsidRDefault="008F10F0" w:rsidP="008F10F0">
      <w:pPr>
        <w:rPr>
          <w:lang w:val="en-US"/>
        </w:rPr>
      </w:pPr>
    </w:p>
    <w:p w:rsidR="008F10F0" w:rsidRPr="00D43DB9" w:rsidRDefault="008F10F0" w:rsidP="008F10F0">
      <w:pPr>
        <w:jc w:val="both"/>
        <w:rPr>
          <w:lang w:val="en-US"/>
        </w:rPr>
      </w:pPr>
      <w:r w:rsidRPr="00D43DB9">
        <w:rPr>
          <w:lang w:val="en-US"/>
        </w:rPr>
        <w:t xml:space="preserve">INGRAM, Helen M.; FIEDERLEIN, Suzanne L. Traversing Boundaries: A Public Policy Approach to the Analysis of Foreign Policy. </w:t>
      </w:r>
      <w:r w:rsidRPr="00D43DB9">
        <w:rPr>
          <w:b/>
          <w:lang w:val="en-US"/>
        </w:rPr>
        <w:t>The Western Political Quarterly</w:t>
      </w:r>
      <w:r w:rsidRPr="00D43DB9">
        <w:rPr>
          <w:lang w:val="en-US"/>
        </w:rPr>
        <w:t>, Vol. 41, No. 4 (Dec., 1988), pp. 725-745.</w:t>
      </w:r>
    </w:p>
    <w:p w:rsidR="008F10F0" w:rsidRPr="00D43DB9" w:rsidRDefault="008F10F0" w:rsidP="008F10F0">
      <w:pPr>
        <w:jc w:val="both"/>
        <w:rPr>
          <w:color w:val="000000"/>
        </w:rPr>
      </w:pPr>
      <w:r w:rsidRPr="00D43DB9">
        <w:rPr>
          <w:color w:val="000000"/>
          <w:lang w:val="en-US"/>
        </w:rPr>
        <w:t xml:space="preserve">LIJPHART, Arend. </w:t>
      </w:r>
      <w:r w:rsidRPr="00D43DB9">
        <w:rPr>
          <w:b/>
          <w:color w:val="000000"/>
        </w:rPr>
        <w:t>Modelos de democracia</w:t>
      </w:r>
      <w:r w:rsidRPr="00D43DB9">
        <w:rPr>
          <w:color w:val="000000"/>
        </w:rPr>
        <w:t>: desempenho e padrões de governo em 36 países. Rio de Janeiro: Civilização Brasileira, 2003.</w:t>
      </w:r>
    </w:p>
    <w:p w:rsidR="008F10F0" w:rsidRDefault="008F10F0" w:rsidP="008F10F0">
      <w:pPr>
        <w:jc w:val="both"/>
        <w:rPr>
          <w:color w:val="000000"/>
        </w:rPr>
      </w:pPr>
    </w:p>
    <w:p w:rsidR="008F10F0" w:rsidRPr="00030DEE" w:rsidRDefault="008F10F0" w:rsidP="008F10F0">
      <w:pPr>
        <w:pStyle w:val="Pr-formataoHTML"/>
        <w:shd w:val="clear" w:color="auto" w:fill="FFFFFF"/>
        <w:jc w:val="both"/>
        <w:rPr>
          <w:rFonts w:ascii="Times New Roman" w:hAnsi="Times New Roman" w:cs="Times New Roman"/>
          <w:color w:val="222222"/>
          <w:sz w:val="24"/>
          <w:szCs w:val="24"/>
          <w:shd w:val="clear" w:color="auto" w:fill="FFFFFF"/>
        </w:rPr>
      </w:pPr>
      <w:r w:rsidRPr="00030DEE">
        <w:rPr>
          <w:rFonts w:ascii="Times New Roman" w:hAnsi="Times New Roman" w:cs="Times New Roman"/>
          <w:color w:val="222222"/>
          <w:sz w:val="24"/>
          <w:szCs w:val="24"/>
          <w:shd w:val="clear" w:color="auto" w:fill="FFFFFF"/>
        </w:rPr>
        <w:t>LANZINI, Erica; ERBITI, Cecilia. LA PROVINCIA DE BUENOS AIRES DURANTE LOS AÑOS “KIRCHNERISTAS”.</w:t>
      </w:r>
    </w:p>
    <w:p w:rsidR="008F10F0" w:rsidRDefault="008F10F0" w:rsidP="008F10F0">
      <w:pPr>
        <w:jc w:val="both"/>
      </w:pPr>
    </w:p>
    <w:p w:rsidR="008F10F0" w:rsidRPr="00C073B8" w:rsidRDefault="008F10F0" w:rsidP="008F10F0">
      <w:pPr>
        <w:jc w:val="both"/>
      </w:pPr>
      <w:r w:rsidRPr="00502857">
        <w:t>LEONI, Eduardo; PEREIRA, Carlos; RENNO, Lúcio. Estratégias para sobreviver politicamente: escolhas de carreiras na Câmara de Deputados do Brasil. </w:t>
      </w:r>
      <w:r w:rsidRPr="00502857">
        <w:rPr>
          <w:lang w:val="en-US"/>
        </w:rPr>
        <w:t xml:space="preserve">Opin. Publica,  Campinas ,  v. 9, n. 1, p. 44-67,  May  2003 .   Available from &lt;http://www.scielo.br/scielo.php?script=sci_arttext&amp;pid=S0104-62762003000100002&amp;lng=en&amp;nrm=iso&gt;. access on  14  Oct.  </w:t>
      </w:r>
      <w:r w:rsidRPr="00C073B8">
        <w:t>2017.  http://dx.doi.org/10.1590/S0104-62762003000100002.</w:t>
      </w:r>
    </w:p>
    <w:p w:rsidR="008F10F0" w:rsidRPr="00C073B8" w:rsidRDefault="008F10F0" w:rsidP="008F10F0">
      <w:pPr>
        <w:jc w:val="both"/>
      </w:pPr>
    </w:p>
    <w:p w:rsidR="001E412F" w:rsidRPr="001E412F" w:rsidRDefault="001E412F" w:rsidP="001E412F">
      <w:pPr>
        <w:jc w:val="both"/>
        <w:rPr>
          <w:color w:val="222222"/>
          <w:shd w:val="clear" w:color="auto" w:fill="FFFFFF"/>
          <w:lang w:val="es-ES"/>
        </w:rPr>
      </w:pPr>
      <w:r w:rsidRPr="001E412F">
        <w:rPr>
          <w:color w:val="222222"/>
          <w:shd w:val="clear" w:color="auto" w:fill="FFFFFF"/>
          <w:lang w:val="es-ES"/>
        </w:rPr>
        <w:t>LEIRAS, Marcelo. Las contradicciones aparentes del federalismo argentino y sus consecuencias políticas y sociales. </w:t>
      </w:r>
      <w:r w:rsidRPr="001E412F">
        <w:rPr>
          <w:b/>
          <w:bCs/>
          <w:color w:val="222222"/>
          <w:shd w:val="clear" w:color="auto" w:fill="FFFFFF"/>
          <w:lang w:val="es-ES"/>
        </w:rPr>
        <w:t>Acuña, CH (comp.).¿Cuánto importan las instituciones</w:t>
      </w:r>
      <w:r w:rsidRPr="001E412F">
        <w:rPr>
          <w:color w:val="222222"/>
          <w:shd w:val="clear" w:color="auto" w:fill="FFFFFF"/>
          <w:lang w:val="es-ES"/>
        </w:rPr>
        <w:t>, p. 209-248, 2013.</w:t>
      </w:r>
    </w:p>
    <w:p w:rsidR="008F10F0" w:rsidRPr="007B1930" w:rsidRDefault="008F10F0" w:rsidP="008F10F0">
      <w:pPr>
        <w:jc w:val="both"/>
        <w:rPr>
          <w:lang w:val="en-US"/>
        </w:rPr>
      </w:pPr>
      <w:r w:rsidRPr="0073364A">
        <w:rPr>
          <w:lang w:val="en-US"/>
        </w:rPr>
        <w:t xml:space="preserve">LODGE, M; JAMES,O. The Limitations of ‘Policy Transfer’ and ‘Lesson Drawing’ for Public Policy. </w:t>
      </w:r>
      <w:r w:rsidRPr="00D43DB9">
        <w:rPr>
          <w:b/>
          <w:bCs/>
        </w:rPr>
        <w:t>Political Studies Review</w:t>
      </w:r>
      <w:r w:rsidRPr="00D43DB9">
        <w:t xml:space="preserve">. Oxford: Estados Unidos. v.1, p. 179-193. 2003. Disponível em: &lt;http://people.exeter.ac.uk/ojames/psr_3.pdf&gt;. </w:t>
      </w:r>
      <w:r w:rsidRPr="007B1930">
        <w:rPr>
          <w:lang w:val="en-US"/>
        </w:rPr>
        <w:t>Acesso em : 23.abr. 2010.</w:t>
      </w:r>
    </w:p>
    <w:p w:rsidR="008F10F0" w:rsidRPr="007B1930" w:rsidRDefault="008F10F0" w:rsidP="008F10F0">
      <w:pPr>
        <w:jc w:val="both"/>
        <w:rPr>
          <w:lang w:val="en-US"/>
        </w:rPr>
      </w:pPr>
    </w:p>
    <w:p w:rsidR="008F10F0" w:rsidRPr="001676D1" w:rsidRDefault="008F10F0" w:rsidP="008F10F0">
      <w:pPr>
        <w:pStyle w:val="NormalWeb"/>
        <w:spacing w:before="0" w:beforeAutospacing="0" w:after="200" w:afterAutospacing="0"/>
        <w:jc w:val="both"/>
        <w:rPr>
          <w:lang w:val="en-US"/>
        </w:rPr>
      </w:pPr>
      <w:r w:rsidRPr="009D79B4">
        <w:rPr>
          <w:bCs/>
          <w:color w:val="000000"/>
          <w:lang w:val="en-US"/>
        </w:rPr>
        <w:t xml:space="preserve">MALAMUD, Andrés. Presidential diplomacy and the institutional underpinnings of Mercosur: an empirical examination. </w:t>
      </w:r>
      <w:r w:rsidRPr="001676D1">
        <w:rPr>
          <w:bCs/>
          <w:color w:val="000000"/>
          <w:lang w:val="en-US"/>
        </w:rPr>
        <w:t>Latin American Research Review, v. 40, n. 1, p. 138-164, 2005.</w:t>
      </w:r>
    </w:p>
    <w:p w:rsidR="008F10F0" w:rsidRPr="001676D1" w:rsidRDefault="008F10F0" w:rsidP="008F10F0">
      <w:pPr>
        <w:jc w:val="both"/>
        <w:rPr>
          <w:sz w:val="28"/>
        </w:rPr>
      </w:pPr>
      <w:r w:rsidRPr="00B523F0">
        <w:rPr>
          <w:bCs/>
          <w:color w:val="000000"/>
          <w:lang w:val="en-US"/>
        </w:rPr>
        <w:t xml:space="preserve">MALAMUD, Andres. Argentine foreign policy under the Kirchners: ideological, pragmatic, or simply Peronist? In: GARDINI, Gian L.; LAMBERT, Peter (Ed.). Latin America foreign policies: between ideology and pragmatism. </w:t>
      </w:r>
      <w:r w:rsidRPr="001676D1">
        <w:rPr>
          <w:bCs/>
          <w:color w:val="000000"/>
        </w:rPr>
        <w:t>Nova York: Palgrave Macmillan, 2011. p. 87-102.</w:t>
      </w:r>
    </w:p>
    <w:p w:rsidR="008F10F0" w:rsidRDefault="008F10F0" w:rsidP="008F10F0">
      <w:pPr>
        <w:jc w:val="both"/>
        <w:rPr>
          <w:shd w:val="clear" w:color="auto" w:fill="FFFFFF"/>
        </w:rPr>
      </w:pPr>
    </w:p>
    <w:p w:rsidR="008F10F0" w:rsidRPr="00D43DB9" w:rsidRDefault="008F10F0" w:rsidP="008F10F0">
      <w:pPr>
        <w:jc w:val="both"/>
        <w:rPr>
          <w:shd w:val="clear" w:color="auto" w:fill="FFFFFF"/>
          <w:lang w:val="es-ES"/>
        </w:rPr>
      </w:pPr>
      <w:r w:rsidRPr="00D43DB9">
        <w:rPr>
          <w:shd w:val="clear" w:color="auto" w:fill="FFFFFF"/>
        </w:rPr>
        <w:lastRenderedPageBreak/>
        <w:t>MIKLOS, Manoela Salem. Diplomacia federativa: o Estado brasileiro e a atuação internacional de suas Unidades Constituintes.</w:t>
      </w:r>
      <w:r w:rsidRPr="00D43DB9">
        <w:t> </w:t>
      </w:r>
      <w:r w:rsidRPr="00D43DB9">
        <w:rPr>
          <w:b/>
          <w:bCs/>
          <w:shd w:val="clear" w:color="auto" w:fill="FFFFFF"/>
          <w:lang w:val="es-ES"/>
        </w:rPr>
        <w:t>Carta Internacional</w:t>
      </w:r>
      <w:r w:rsidRPr="00D43DB9">
        <w:rPr>
          <w:shd w:val="clear" w:color="auto" w:fill="FFFFFF"/>
          <w:lang w:val="es-ES"/>
        </w:rPr>
        <w:t>, v. 6, n. 1, p. 83-100, 2011.</w:t>
      </w:r>
    </w:p>
    <w:p w:rsidR="008F10F0" w:rsidRPr="00D43DB9" w:rsidRDefault="008F10F0" w:rsidP="008F10F0">
      <w:pPr>
        <w:jc w:val="both"/>
        <w:rPr>
          <w:shd w:val="clear" w:color="auto" w:fill="FFFFFF"/>
          <w:lang w:val="es-ES"/>
        </w:rPr>
      </w:pPr>
    </w:p>
    <w:p w:rsidR="008F10F0" w:rsidRPr="00D43DB9" w:rsidRDefault="008F10F0" w:rsidP="008F10F0">
      <w:pPr>
        <w:jc w:val="both"/>
        <w:rPr>
          <w:lang w:val="es-ES"/>
        </w:rPr>
      </w:pPr>
      <w:r w:rsidRPr="00D43DB9">
        <w:rPr>
          <w:lang w:val="es-ES"/>
        </w:rPr>
        <w:t xml:space="preserve">MINISTERIO DE LA PRODUCCIÓN, CIENCIA Y TECNOLOGÍA/ SUBSECRETARÍA DE RELACIONES ECONÓMICAS INTERNACIONALES. </w:t>
      </w:r>
      <w:r w:rsidRPr="00D43DB9">
        <w:rPr>
          <w:b/>
        </w:rPr>
        <w:t>Site institucional</w:t>
      </w:r>
      <w:r w:rsidRPr="00D43DB9">
        <w:t xml:space="preserve">. Disponível em: </w:t>
      </w:r>
      <w:hyperlink r:id="rId17" w:history="1">
        <w:r w:rsidRPr="00D43DB9">
          <w:rPr>
            <w:color w:val="0000FF"/>
            <w:u w:val="single"/>
          </w:rPr>
          <w:t>http://www.mp.gba.gov.ar/srei/index.php</w:t>
        </w:r>
      </w:hyperlink>
      <w:r w:rsidRPr="00D43DB9">
        <w:t xml:space="preserve">. </w:t>
      </w:r>
      <w:r w:rsidRPr="00D43DB9">
        <w:rPr>
          <w:lang w:val="es-ES"/>
        </w:rPr>
        <w:t>Acessado em: 18 de novembro de 2014.</w:t>
      </w:r>
    </w:p>
    <w:p w:rsidR="008F10F0" w:rsidRPr="00D43DB9" w:rsidRDefault="008F10F0" w:rsidP="008F10F0">
      <w:pPr>
        <w:jc w:val="both"/>
        <w:rPr>
          <w:lang w:val="es-ES"/>
        </w:rPr>
      </w:pPr>
    </w:p>
    <w:p w:rsidR="001F013A" w:rsidRDefault="001F013A" w:rsidP="001F013A">
      <w:pPr>
        <w:jc w:val="both"/>
      </w:pPr>
      <w:r>
        <w:t xml:space="preserve">MINISTERIO DE ECONOMÍA DE LA PROVINCIA DE BUENOS AIRES (2016), Dirección Provincial de Deuda y Crédito Público: Créditos multilaterales. Dispon[ivel em: </w:t>
      </w:r>
      <w:hyperlink r:id="rId18" w:history="1">
        <w:r w:rsidRPr="00962F36">
          <w:rPr>
            <w:rStyle w:val="Hyperlink"/>
          </w:rPr>
          <w:t>www.ec.gba.gov.ar/areas/finanzas/deuda/multilaterales.php</w:t>
        </w:r>
      </w:hyperlink>
    </w:p>
    <w:p w:rsidR="001F013A" w:rsidRDefault="001F013A" w:rsidP="001F013A">
      <w:pPr>
        <w:jc w:val="both"/>
      </w:pPr>
    </w:p>
    <w:p w:rsidR="001F013A" w:rsidRDefault="001F013A" w:rsidP="001F013A">
      <w:pPr>
        <w:jc w:val="both"/>
      </w:pPr>
      <w:r>
        <w:t xml:space="preserve">MINISTERIO DE INFRAESTRUCTURA Y SERVICIOS PÚBLICOS DE LA PROVINCIA DE BUENOS AIRES (2016), Misión del Banco Internacional de Reconstrucción y Fomento. Disponível em: </w:t>
      </w:r>
      <w:hyperlink r:id="rId19" w:history="1">
        <w:r w:rsidRPr="00962F36">
          <w:rPr>
            <w:rStyle w:val="Hyperlink"/>
          </w:rPr>
          <w:t>www.mosp.gba.gov.ar/sitios/ucpo/informacion/inf_birf_nov11.php</w:t>
        </w:r>
      </w:hyperlink>
    </w:p>
    <w:p w:rsidR="001F013A" w:rsidRDefault="001F013A" w:rsidP="001F013A">
      <w:pPr>
        <w:jc w:val="both"/>
      </w:pPr>
      <w:r>
        <w:t xml:space="preserve"> </w:t>
      </w:r>
    </w:p>
    <w:p w:rsidR="001F013A" w:rsidRDefault="001F013A" w:rsidP="001F013A">
      <w:pPr>
        <w:jc w:val="both"/>
      </w:pPr>
    </w:p>
    <w:p w:rsidR="001F013A" w:rsidRDefault="001F013A" w:rsidP="001F013A">
      <w:pPr>
        <w:jc w:val="both"/>
      </w:pPr>
      <w:r>
        <w:t xml:space="preserve">MINISTERIO DE INFRAESTRUCTURA Y SERVICIOS PÚBLICOS DE LA PROVINCIA DE BUENOS AIRES (2015), Asistencia: BID. Disponível em: </w:t>
      </w:r>
      <w:hyperlink r:id="rId20" w:history="1">
        <w:r w:rsidRPr="00962F36">
          <w:rPr>
            <w:rStyle w:val="Hyperlink"/>
          </w:rPr>
          <w:t>www.mosp.gba.gov.ar/sitios/ucpo/informacion/asis_bid.php</w:t>
        </w:r>
      </w:hyperlink>
    </w:p>
    <w:p w:rsidR="001F013A" w:rsidRPr="001F013A" w:rsidRDefault="001F013A" w:rsidP="008F10F0">
      <w:pPr>
        <w:jc w:val="both"/>
      </w:pPr>
    </w:p>
    <w:p w:rsidR="008F10F0" w:rsidRPr="00D43DB9" w:rsidRDefault="008F10F0" w:rsidP="008F10F0">
      <w:pPr>
        <w:jc w:val="both"/>
        <w:rPr>
          <w:lang w:val="es-ES"/>
        </w:rPr>
      </w:pPr>
      <w:r w:rsidRPr="00D43DB9">
        <w:rPr>
          <w:lang w:val="es-ES"/>
        </w:rPr>
        <w:t>MINISTERIO DE LA PRODUCCIÓN, CIENCIA Y TECNOLOGÍA, DECRETO 2.098, 2006.</w:t>
      </w:r>
    </w:p>
    <w:p w:rsidR="008F10F0" w:rsidRPr="00D43DB9" w:rsidRDefault="008F10F0" w:rsidP="008F10F0">
      <w:pPr>
        <w:rPr>
          <w:shd w:val="clear" w:color="auto" w:fill="FFFFFF"/>
          <w:lang w:val="es-ES"/>
        </w:rPr>
      </w:pPr>
    </w:p>
    <w:p w:rsidR="008F10F0" w:rsidRPr="00D43DB9" w:rsidRDefault="008F10F0" w:rsidP="008F10F0">
      <w:pPr>
        <w:jc w:val="both"/>
      </w:pPr>
      <w:r w:rsidRPr="00D43DB9">
        <w:rPr>
          <w:lang w:val="es-ES"/>
        </w:rPr>
        <w:t xml:space="preserve">MINISTERIO DE LA PRODUCCIÓN, CIENCIA Y TECNOLOGÍA/ SUBSECRETARÍA DE RELACIONES ECONÓMICAS INTERNACIONALES. </w:t>
      </w:r>
      <w:r w:rsidRPr="00D43DB9">
        <w:rPr>
          <w:b/>
        </w:rPr>
        <w:t>Site institucional</w:t>
      </w:r>
      <w:r w:rsidRPr="00D43DB9">
        <w:t xml:space="preserve">. Disponível em: </w:t>
      </w:r>
      <w:hyperlink r:id="rId21" w:history="1">
        <w:r w:rsidRPr="00D43DB9">
          <w:rPr>
            <w:color w:val="0000FF"/>
            <w:u w:val="single"/>
          </w:rPr>
          <w:t>http://www.mp.gba.gov.ar/srei/index.php</w:t>
        </w:r>
      </w:hyperlink>
      <w:r w:rsidRPr="00D43DB9">
        <w:t>. Acessado em: 18 de novembro de 2014.</w:t>
      </w:r>
    </w:p>
    <w:p w:rsidR="008F10F0" w:rsidRPr="00D43DB9" w:rsidRDefault="008F10F0" w:rsidP="008F10F0">
      <w:pPr>
        <w:rPr>
          <w:shd w:val="clear" w:color="auto" w:fill="FFFFFF"/>
        </w:rPr>
      </w:pPr>
    </w:p>
    <w:p w:rsidR="008F10F0" w:rsidRPr="00D43DB9" w:rsidRDefault="008F10F0" w:rsidP="008F10F0">
      <w:pPr>
        <w:jc w:val="both"/>
      </w:pPr>
      <w:r w:rsidRPr="00D43DB9">
        <w:t xml:space="preserve">MINISTERIO DE SALUD DE LA PROVÍNCIA DE BUENOS AIRES. </w:t>
      </w:r>
      <w:r w:rsidRPr="00D43DB9">
        <w:rPr>
          <w:b/>
        </w:rPr>
        <w:t>Unidad De Pronta Atención</w:t>
      </w:r>
      <w:r w:rsidRPr="00D43DB9">
        <w:t>. 2015</w:t>
      </w:r>
    </w:p>
    <w:p w:rsidR="00914ACC" w:rsidRDefault="00914ACC" w:rsidP="008F10F0">
      <w:pPr>
        <w:jc w:val="both"/>
        <w:rPr>
          <w:color w:val="222222"/>
          <w:szCs w:val="20"/>
          <w:shd w:val="clear" w:color="auto" w:fill="FFFFFF"/>
        </w:rPr>
      </w:pPr>
    </w:p>
    <w:p w:rsidR="008F10F0" w:rsidRDefault="008F10F0" w:rsidP="008F10F0">
      <w:pPr>
        <w:jc w:val="both"/>
        <w:rPr>
          <w:color w:val="222222"/>
          <w:szCs w:val="20"/>
          <w:shd w:val="clear" w:color="auto" w:fill="FFFFFF"/>
        </w:rPr>
      </w:pPr>
      <w:r>
        <w:rPr>
          <w:color w:val="222222"/>
          <w:szCs w:val="20"/>
          <w:shd w:val="clear" w:color="auto" w:fill="FFFFFF"/>
        </w:rPr>
        <w:t>MENICUCCI, Telma; DE FARIA MARQUES, Alisson Maciel. Cooperação e Coordenação na Implementação de Políticas Públicas: O Caso da Saúde. </w:t>
      </w:r>
      <w:r>
        <w:rPr>
          <w:b/>
          <w:bCs/>
          <w:color w:val="222222"/>
          <w:szCs w:val="20"/>
          <w:shd w:val="clear" w:color="auto" w:fill="FFFFFF"/>
        </w:rPr>
        <w:t>Dados-Revista de Ciências Sociais</w:t>
      </w:r>
      <w:r>
        <w:rPr>
          <w:color w:val="222222"/>
          <w:szCs w:val="20"/>
          <w:shd w:val="clear" w:color="auto" w:fill="FFFFFF"/>
        </w:rPr>
        <w:t>, v. 59, n. 3, 2016.</w:t>
      </w:r>
    </w:p>
    <w:p w:rsidR="008F10F0" w:rsidRDefault="008F10F0" w:rsidP="008F10F0">
      <w:pPr>
        <w:jc w:val="both"/>
        <w:rPr>
          <w:color w:val="000000"/>
          <w:shd w:val="clear" w:color="auto" w:fill="FFFFFF"/>
        </w:rPr>
      </w:pPr>
    </w:p>
    <w:p w:rsidR="00914ACC" w:rsidRPr="00914ACC" w:rsidRDefault="00914ACC" w:rsidP="00E62ACC">
      <w:pPr>
        <w:jc w:val="both"/>
        <w:rPr>
          <w:sz w:val="28"/>
        </w:rPr>
      </w:pPr>
      <w:r w:rsidRPr="00914ACC">
        <w:rPr>
          <w:color w:val="222222"/>
          <w:szCs w:val="22"/>
          <w:shd w:val="clear" w:color="auto" w:fill="FFFFFF"/>
        </w:rPr>
        <w:t>NOVARO, Marcos. </w:t>
      </w:r>
      <w:r w:rsidRPr="00914ACC">
        <w:rPr>
          <w:b/>
          <w:bCs/>
          <w:color w:val="222222"/>
          <w:szCs w:val="22"/>
          <w:shd w:val="clear" w:color="auto" w:fill="FFFFFF"/>
        </w:rPr>
        <w:t>Presidentes, equilibrios institucionales y coaliciones de gobierno en Argentina (1989-2000)</w:t>
      </w:r>
      <w:r w:rsidRPr="00914ACC">
        <w:rPr>
          <w:color w:val="222222"/>
          <w:szCs w:val="22"/>
          <w:shd w:val="clear" w:color="auto" w:fill="FFFFFF"/>
        </w:rPr>
        <w:t>. Clacso, 2001.</w:t>
      </w:r>
    </w:p>
    <w:p w:rsidR="00914ACC" w:rsidRDefault="00914ACC" w:rsidP="008F10F0">
      <w:pPr>
        <w:jc w:val="both"/>
        <w:rPr>
          <w:color w:val="000000"/>
          <w:shd w:val="clear" w:color="auto" w:fill="FFFFFF"/>
        </w:rPr>
      </w:pPr>
    </w:p>
    <w:p w:rsidR="008F10F0" w:rsidRPr="00030DEE" w:rsidRDefault="008F10F0" w:rsidP="008F10F0">
      <w:pPr>
        <w:jc w:val="both"/>
        <w:rPr>
          <w:b/>
        </w:rPr>
      </w:pPr>
      <w:r w:rsidRPr="00030DEE">
        <w:rPr>
          <w:color w:val="000000"/>
          <w:shd w:val="clear" w:color="auto" w:fill="FFFFFF"/>
        </w:rPr>
        <w:t>OLLIER, MARÍA MATILDE, El peronismo bonaerense: inserción nacional y liderazgosRevista SAAP. Publicación de Ciencia Política de la Sociedad Argentina de Análisis Político [en linea] 2007, 3 (Agosto-Sin mes) : [Fecha de consulta: 15 de septiembre de 2017] Disponible en:</w:t>
      </w:r>
      <w:hyperlink r:id="rId22" w:history="1">
        <w:r w:rsidRPr="00030DEE">
          <w:rPr>
            <w:rStyle w:val="Hyperlink"/>
            <w:b/>
            <w:bCs/>
            <w:color w:val="000000"/>
            <w:shd w:val="clear" w:color="auto" w:fill="FFFFFF"/>
          </w:rPr>
          <w:t>&lt;http://www.redalyc.org/articulo.oa?id=387136360006&gt; </w:t>
        </w:r>
      </w:hyperlink>
      <w:r w:rsidRPr="00030DEE">
        <w:rPr>
          <w:color w:val="000000"/>
          <w:shd w:val="clear" w:color="auto" w:fill="FFFFFF"/>
        </w:rPr>
        <w:t>ISSN 1666-7883 </w:t>
      </w:r>
    </w:p>
    <w:p w:rsidR="008F10F0" w:rsidRDefault="008F10F0" w:rsidP="008F10F0">
      <w:pPr>
        <w:jc w:val="both"/>
      </w:pPr>
    </w:p>
    <w:p w:rsidR="008F10F0" w:rsidRPr="00D43DB9" w:rsidRDefault="008F10F0" w:rsidP="008F10F0">
      <w:pPr>
        <w:contextualSpacing/>
        <w:jc w:val="both"/>
      </w:pPr>
      <w:r w:rsidRPr="00D43DB9">
        <w:t xml:space="preserve">PINHEIRO, Letícia &amp; MILANI, Carlos (orgs). </w:t>
      </w:r>
      <w:r w:rsidRPr="00D43DB9">
        <w:rPr>
          <w:b/>
        </w:rPr>
        <w:t>Política externa brasileira: as práticas da política e a política das práticas</w:t>
      </w:r>
      <w:r w:rsidRPr="00D43DB9">
        <w:t xml:space="preserve">. Rio de Janeiro: Fundação Getúlio Vargas, 2012. </w:t>
      </w:r>
    </w:p>
    <w:p w:rsidR="008F10F0" w:rsidRPr="00D43DB9" w:rsidRDefault="008F10F0" w:rsidP="008F10F0">
      <w:pPr>
        <w:jc w:val="both"/>
        <w:rPr>
          <w:shd w:val="clear" w:color="auto" w:fill="FFFFFF"/>
        </w:rPr>
      </w:pPr>
    </w:p>
    <w:p w:rsidR="00CE6FE2" w:rsidRPr="00C073B8" w:rsidRDefault="00CE6FE2" w:rsidP="00CE6FE2">
      <w:pPr>
        <w:autoSpaceDE w:val="0"/>
        <w:autoSpaceDN w:val="0"/>
        <w:adjustRightInd w:val="0"/>
        <w:jc w:val="both"/>
        <w:rPr>
          <w:rFonts w:ascii="PalatinoLTStd-Roman" w:eastAsiaTheme="minorHAnsi" w:hAnsi="PalatinoLTStd-Roman" w:cs="PalatinoLTStd-Roman"/>
          <w:sz w:val="20"/>
          <w:szCs w:val="20"/>
          <w:lang w:val="en-US" w:eastAsia="en-US"/>
        </w:rPr>
      </w:pPr>
      <w:r w:rsidRPr="00CE6FE2">
        <w:rPr>
          <w:color w:val="000000"/>
        </w:rPr>
        <w:lastRenderedPageBreak/>
        <w:t>RIBEIRO, PEDRO FELIÚ; URDINEZ, FRANCISCO. ¿HAY DOS PRESIDENTES EN ARGENTINA?: UN ANÁLISIS COMPARATIVO DEL APOYO LEGISLATIVO EN LAS POLÍTICAS EXTERIOR Y DOMÉSTICA (2001-2014).</w:t>
      </w:r>
      <w:r w:rsidRPr="00CE6FE2">
        <w:rPr>
          <w:b/>
          <w:bCs/>
          <w:color w:val="000000"/>
        </w:rPr>
        <w:t> Rev. cienc. polít. (Santiago)</w:t>
      </w:r>
      <w:r w:rsidRPr="00CE6FE2">
        <w:rPr>
          <w:color w:val="000000"/>
        </w:rPr>
        <w:t xml:space="preserve">,  Santiago ,  v. 37, n. 1, p. 95-119,  mayo  2017 .   Disponible en &lt;http://www.scielo.cl/scielo.php?script=sci_arttext&amp;pid=S0718-090X2017000100005&amp;lng=es&amp;nrm=iso&gt;. accedido en  03  dic.  </w:t>
      </w:r>
      <w:r w:rsidRPr="00C073B8">
        <w:rPr>
          <w:color w:val="000000"/>
          <w:lang w:val="en-US"/>
        </w:rPr>
        <w:t>2017.</w:t>
      </w:r>
      <w:r w:rsidRPr="00C073B8">
        <w:rPr>
          <w:rFonts w:ascii="Arial" w:hAnsi="Arial" w:cs="Arial"/>
          <w:color w:val="000000"/>
          <w:sz w:val="20"/>
          <w:szCs w:val="20"/>
          <w:lang w:val="en-US"/>
        </w:rPr>
        <w:t>  http://dx.doi.org/10.4067/S0718-090X2017000100005.</w:t>
      </w:r>
    </w:p>
    <w:p w:rsidR="00CE6FE2" w:rsidRPr="00C073B8" w:rsidRDefault="00CE6FE2" w:rsidP="008F10F0">
      <w:pPr>
        <w:jc w:val="both"/>
        <w:rPr>
          <w:shd w:val="clear" w:color="auto" w:fill="FFFFFF"/>
          <w:lang w:val="en-US"/>
        </w:rPr>
      </w:pPr>
    </w:p>
    <w:p w:rsidR="008F10F0" w:rsidRPr="00030DEE" w:rsidRDefault="008F10F0" w:rsidP="008F10F0">
      <w:pPr>
        <w:jc w:val="both"/>
        <w:rPr>
          <w:shd w:val="clear" w:color="auto" w:fill="FFFFFF"/>
        </w:rPr>
      </w:pPr>
      <w:r w:rsidRPr="00C073B8">
        <w:rPr>
          <w:shd w:val="clear" w:color="auto" w:fill="FFFFFF"/>
          <w:lang w:val="en-US"/>
        </w:rPr>
        <w:t xml:space="preserve">RIKER, William H. Federalism. </w:t>
      </w:r>
      <w:r w:rsidRPr="00D43DB9">
        <w:rPr>
          <w:shd w:val="clear" w:color="auto" w:fill="FFFFFF"/>
          <w:lang w:val="en-US"/>
        </w:rPr>
        <w:t xml:space="preserve">In: GREENSTEIN, F.; POLSBY, N.W. (ogrs.). </w:t>
      </w:r>
      <w:r w:rsidRPr="00030DEE">
        <w:rPr>
          <w:b/>
          <w:shd w:val="clear" w:color="auto" w:fill="FFFFFF"/>
        </w:rPr>
        <w:t>Handbook of Political Science</w:t>
      </w:r>
      <w:r w:rsidRPr="00030DEE">
        <w:rPr>
          <w:shd w:val="clear" w:color="auto" w:fill="FFFFFF"/>
        </w:rPr>
        <w:t>. Reading: Addison-Wesley, 1975. P. 93-172</w:t>
      </w:r>
    </w:p>
    <w:p w:rsidR="008F10F0" w:rsidRPr="00030DEE" w:rsidRDefault="008F10F0" w:rsidP="008F10F0">
      <w:pPr>
        <w:jc w:val="both"/>
        <w:rPr>
          <w:color w:val="222222"/>
          <w:shd w:val="clear" w:color="auto" w:fill="FFFFFF"/>
        </w:rPr>
      </w:pPr>
    </w:p>
    <w:p w:rsidR="008F10F0" w:rsidRDefault="008F10F0" w:rsidP="008F10F0">
      <w:pPr>
        <w:pStyle w:val="Pr-formataoHTML"/>
        <w:shd w:val="clear" w:color="auto" w:fill="FFFFFF"/>
        <w:jc w:val="both"/>
        <w:rPr>
          <w:rFonts w:ascii="Times New Roman" w:hAnsi="Times New Roman" w:cs="Times New Roman"/>
          <w:color w:val="222222"/>
          <w:sz w:val="24"/>
          <w:szCs w:val="24"/>
          <w:shd w:val="clear" w:color="auto" w:fill="FFFFFF"/>
        </w:rPr>
      </w:pPr>
      <w:r w:rsidRPr="00030DEE">
        <w:rPr>
          <w:rFonts w:ascii="Times New Roman" w:hAnsi="Times New Roman" w:cs="Times New Roman"/>
          <w:color w:val="222222"/>
          <w:sz w:val="24"/>
          <w:szCs w:val="24"/>
          <w:shd w:val="clear" w:color="auto" w:fill="FFFFFF"/>
        </w:rPr>
        <w:t>RODRÍGUEZ, D. Un nuevo capítulo de la crisis de los partidos bonaerenses: acción del liderazgo presidencial y fragmentación política en el proceso electoral 2007. </w:t>
      </w:r>
      <w:r w:rsidRPr="00030DEE">
        <w:rPr>
          <w:rFonts w:ascii="Times New Roman" w:hAnsi="Times New Roman" w:cs="Times New Roman"/>
          <w:b/>
          <w:bCs/>
          <w:color w:val="222222"/>
          <w:sz w:val="24"/>
          <w:szCs w:val="24"/>
          <w:shd w:val="clear" w:color="auto" w:fill="FFFFFF"/>
        </w:rPr>
        <w:t>Las urnas y la desconfianza ciudadana en la democracia argentina. Rosario: Homo Sapiens</w:t>
      </w:r>
      <w:r w:rsidRPr="00030DEE">
        <w:rPr>
          <w:rFonts w:ascii="Times New Roman" w:hAnsi="Times New Roman" w:cs="Times New Roman"/>
          <w:color w:val="222222"/>
          <w:sz w:val="24"/>
          <w:szCs w:val="24"/>
          <w:shd w:val="clear" w:color="auto" w:fill="FFFFFF"/>
        </w:rPr>
        <w:t>, 2009.</w:t>
      </w:r>
    </w:p>
    <w:p w:rsidR="008F10F0" w:rsidRPr="00030DEE" w:rsidRDefault="008F10F0" w:rsidP="008F10F0">
      <w:pPr>
        <w:pStyle w:val="Pr-formataoHTML"/>
        <w:shd w:val="clear" w:color="auto" w:fill="FFFFFF"/>
        <w:jc w:val="both"/>
        <w:rPr>
          <w:rFonts w:ascii="Times New Roman" w:hAnsi="Times New Roman" w:cs="Times New Roman"/>
          <w:sz w:val="24"/>
          <w:szCs w:val="24"/>
        </w:rPr>
      </w:pPr>
    </w:p>
    <w:p w:rsidR="008F10F0" w:rsidRPr="00D43DB9" w:rsidRDefault="008F10F0" w:rsidP="008F10F0">
      <w:pPr>
        <w:jc w:val="both"/>
        <w:rPr>
          <w:color w:val="000000"/>
          <w:lang w:val="en-US"/>
        </w:rPr>
      </w:pPr>
      <w:r w:rsidRPr="00281E4B">
        <w:rPr>
          <w:color w:val="000000"/>
        </w:rPr>
        <w:t xml:space="preserve">RODRIGUES, Gilberto Marcos Antonio. </w:t>
      </w:r>
      <w:r w:rsidRPr="00D43DB9">
        <w:rPr>
          <w:color w:val="000000"/>
        </w:rPr>
        <w:t>Relações internacionais federativas no Brasil.</w:t>
      </w:r>
      <w:r w:rsidRPr="00D43DB9">
        <w:rPr>
          <w:b/>
          <w:bCs/>
          <w:color w:val="000000"/>
        </w:rPr>
        <w:t> </w:t>
      </w:r>
      <w:r w:rsidRPr="00D43DB9">
        <w:rPr>
          <w:b/>
          <w:bCs/>
          <w:color w:val="000000"/>
          <w:lang w:val="en-US"/>
        </w:rPr>
        <w:t>Dados</w:t>
      </w:r>
      <w:r w:rsidRPr="00D43DB9">
        <w:rPr>
          <w:color w:val="000000"/>
          <w:lang w:val="en-US"/>
        </w:rPr>
        <w:t>,  Rio de Janeiro,  v. 51, n. 4,   2008.</w:t>
      </w:r>
    </w:p>
    <w:p w:rsidR="008F10F0" w:rsidRPr="00D43DB9" w:rsidRDefault="008F10F0" w:rsidP="008F10F0">
      <w:pPr>
        <w:jc w:val="both"/>
        <w:rPr>
          <w:color w:val="000000"/>
          <w:lang w:val="en-US"/>
        </w:rPr>
      </w:pPr>
    </w:p>
    <w:p w:rsidR="008F10F0" w:rsidRPr="00D43DB9" w:rsidRDefault="008F10F0" w:rsidP="008F10F0">
      <w:pPr>
        <w:jc w:val="both"/>
        <w:rPr>
          <w:lang w:val="en-US"/>
        </w:rPr>
      </w:pPr>
      <w:r w:rsidRPr="00D43DB9">
        <w:rPr>
          <w:lang w:val="en-US"/>
        </w:rPr>
        <w:t>ROSENAU, J. 'A Pre-theory Revisited: World Politics in an Era of Cascading Interdependence', International Studies Quarterly.</w:t>
      </w:r>
    </w:p>
    <w:p w:rsidR="008F10F0" w:rsidRPr="00D43DB9" w:rsidRDefault="008F10F0" w:rsidP="008F10F0">
      <w:pPr>
        <w:jc w:val="both"/>
        <w:rPr>
          <w:lang w:val="en-US"/>
        </w:rPr>
      </w:pPr>
    </w:p>
    <w:p w:rsidR="008F10F0" w:rsidRPr="00D43DB9" w:rsidRDefault="008F10F0" w:rsidP="008F10F0">
      <w:pPr>
        <w:jc w:val="both"/>
        <w:rPr>
          <w:lang w:val="en-US"/>
        </w:rPr>
      </w:pPr>
      <w:r w:rsidRPr="00D43DB9">
        <w:rPr>
          <w:lang w:val="en-US"/>
        </w:rPr>
        <w:t xml:space="preserve">_____. 'The State in an Era of Cascading Politics: Wavering Concept, Widening Competence, Withering Colossus, or Weathering Change?', presented at the </w:t>
      </w:r>
      <w:r w:rsidRPr="00D43DB9">
        <w:rPr>
          <w:b/>
          <w:lang w:val="en-US"/>
        </w:rPr>
        <w:t>International Political Science Association Congress</w:t>
      </w:r>
      <w:r w:rsidRPr="00D43DB9">
        <w:rPr>
          <w:lang w:val="en-US"/>
        </w:rPr>
        <w:t xml:space="preserve"> held in Paris, 14-20 July 1985.</w:t>
      </w:r>
    </w:p>
    <w:p w:rsidR="008F10F0" w:rsidRPr="00D43DB9" w:rsidRDefault="008F10F0" w:rsidP="008F10F0">
      <w:pPr>
        <w:jc w:val="both"/>
        <w:rPr>
          <w:lang w:val="en-US"/>
        </w:rPr>
      </w:pPr>
    </w:p>
    <w:p w:rsidR="008F10F0" w:rsidRPr="00D43DB9" w:rsidRDefault="008F10F0" w:rsidP="008F10F0">
      <w:pPr>
        <w:jc w:val="both"/>
        <w:rPr>
          <w:b/>
          <w:lang w:val="en-US"/>
        </w:rPr>
      </w:pPr>
      <w:r w:rsidRPr="00D43DB9">
        <w:rPr>
          <w:lang w:val="en-US"/>
        </w:rPr>
        <w:t xml:space="preserve">SOLDATOS, P. 'An Explanatory Framework for the Study of Federated States as Foreign Policy Actors', paper presented at the </w:t>
      </w:r>
      <w:r w:rsidRPr="00D43DB9">
        <w:rPr>
          <w:b/>
          <w:lang w:val="en-US"/>
        </w:rPr>
        <w:t>Annual Meeting of the American Political Science Association</w:t>
      </w:r>
    </w:p>
    <w:p w:rsidR="008F10F0" w:rsidRDefault="008F10F0" w:rsidP="008F10F0">
      <w:pPr>
        <w:jc w:val="both"/>
        <w:rPr>
          <w:color w:val="000000"/>
          <w:lang w:val="en-US"/>
        </w:rPr>
      </w:pPr>
    </w:p>
    <w:p w:rsidR="008F10F0" w:rsidRPr="00C32D7D" w:rsidRDefault="008F10F0" w:rsidP="008F10F0">
      <w:pPr>
        <w:jc w:val="both"/>
        <w:rPr>
          <w:color w:val="000000"/>
          <w:sz w:val="28"/>
        </w:rPr>
      </w:pPr>
      <w:r w:rsidRPr="00B32D4D">
        <w:rPr>
          <w:color w:val="222222"/>
          <w:szCs w:val="22"/>
          <w:shd w:val="clear" w:color="auto" w:fill="FFFFFF"/>
          <w:lang w:val="en-US"/>
        </w:rPr>
        <w:t>SOLOMON, Robert. Democratisation and Reform in Latin America. In: </w:t>
      </w:r>
      <w:r w:rsidRPr="00B32D4D">
        <w:rPr>
          <w:b/>
          <w:bCs/>
          <w:color w:val="222222"/>
          <w:szCs w:val="22"/>
          <w:shd w:val="clear" w:color="auto" w:fill="FFFFFF"/>
          <w:lang w:val="en-US"/>
        </w:rPr>
        <w:t>The Transformation of the World Economy</w:t>
      </w:r>
      <w:r w:rsidRPr="00B32D4D">
        <w:rPr>
          <w:color w:val="222222"/>
          <w:szCs w:val="22"/>
          <w:shd w:val="clear" w:color="auto" w:fill="FFFFFF"/>
          <w:lang w:val="en-US"/>
        </w:rPr>
        <w:t xml:space="preserve">. </w:t>
      </w:r>
      <w:r w:rsidRPr="00B32D4D">
        <w:rPr>
          <w:color w:val="222222"/>
          <w:szCs w:val="22"/>
          <w:shd w:val="clear" w:color="auto" w:fill="FFFFFF"/>
        </w:rPr>
        <w:t>Palgrave Macmillan UK, 1999. p. 165-183.</w:t>
      </w:r>
    </w:p>
    <w:p w:rsidR="008F10F0" w:rsidRPr="00C32D7D" w:rsidRDefault="008F10F0" w:rsidP="008F10F0">
      <w:pPr>
        <w:jc w:val="both"/>
        <w:rPr>
          <w:color w:val="000000"/>
        </w:rPr>
      </w:pPr>
    </w:p>
    <w:p w:rsidR="008F10F0" w:rsidRPr="00D43DB9" w:rsidRDefault="008F10F0" w:rsidP="008F10F0">
      <w:pPr>
        <w:jc w:val="both"/>
        <w:rPr>
          <w:color w:val="000000"/>
        </w:rPr>
      </w:pPr>
      <w:r w:rsidRPr="00D43DB9">
        <w:rPr>
          <w:color w:val="000000"/>
        </w:rPr>
        <w:t xml:space="preserve">SOUZA, Celina. </w:t>
      </w:r>
      <w:r w:rsidRPr="00D43DB9">
        <w:t xml:space="preserve">“ESTADO DO CAMPO” DA PESQUISA EM POLÍTICAS PÚBLICAS NO BRASIL. </w:t>
      </w:r>
      <w:r w:rsidRPr="00D43DB9">
        <w:rPr>
          <w:b/>
        </w:rPr>
        <w:t>RBCS</w:t>
      </w:r>
      <w:r w:rsidRPr="00D43DB9">
        <w:t>. Vol. 18 nº. 51 fevereiro/2003</w:t>
      </w:r>
    </w:p>
    <w:p w:rsidR="008F10F0" w:rsidRPr="00D43DB9" w:rsidRDefault="008F10F0" w:rsidP="008F10F0">
      <w:pPr>
        <w:jc w:val="both"/>
        <w:rPr>
          <w:color w:val="000000"/>
        </w:rPr>
      </w:pPr>
    </w:p>
    <w:p w:rsidR="008F10F0" w:rsidRPr="00D43DB9" w:rsidRDefault="008F10F0" w:rsidP="008F10F0">
      <w:pPr>
        <w:autoSpaceDE w:val="0"/>
        <w:autoSpaceDN w:val="0"/>
        <w:adjustRightInd w:val="0"/>
        <w:jc w:val="both"/>
        <w:rPr>
          <w:color w:val="000000"/>
        </w:rPr>
      </w:pPr>
      <w:r w:rsidRPr="00D43DB9">
        <w:rPr>
          <w:color w:val="000000"/>
        </w:rPr>
        <w:t xml:space="preserve">____. Políticas Públicas; uma revisão de literatura. </w:t>
      </w:r>
      <w:r w:rsidRPr="00D43DB9">
        <w:rPr>
          <w:b/>
          <w:color w:val="000000"/>
        </w:rPr>
        <w:t>Sociologias</w:t>
      </w:r>
      <w:r w:rsidRPr="00D43DB9">
        <w:rPr>
          <w:color w:val="000000"/>
        </w:rPr>
        <w:t xml:space="preserve">, Porto Alegre, ano 8, n. </w:t>
      </w:r>
    </w:p>
    <w:p w:rsidR="008F10F0" w:rsidRDefault="008F10F0" w:rsidP="008F10F0">
      <w:pPr>
        <w:autoSpaceDE w:val="0"/>
        <w:autoSpaceDN w:val="0"/>
        <w:adjustRightInd w:val="0"/>
        <w:jc w:val="both"/>
        <w:rPr>
          <w:color w:val="000000"/>
        </w:rPr>
      </w:pPr>
    </w:p>
    <w:p w:rsidR="008F10F0" w:rsidRDefault="008F10F0" w:rsidP="008F10F0">
      <w:pPr>
        <w:jc w:val="both"/>
        <w:rPr>
          <w:rFonts w:ascii="Arial" w:hAnsi="Arial" w:cs="Arial"/>
          <w:color w:val="000000"/>
          <w:sz w:val="20"/>
          <w:szCs w:val="20"/>
        </w:rPr>
      </w:pPr>
    </w:p>
    <w:p w:rsidR="008F10F0" w:rsidRPr="008F10F0" w:rsidRDefault="008F10F0" w:rsidP="008F10F0">
      <w:pPr>
        <w:jc w:val="both"/>
        <w:rPr>
          <w:color w:val="000000"/>
          <w:sz w:val="22"/>
          <w:szCs w:val="20"/>
          <w:lang w:val="en-US"/>
        </w:rPr>
      </w:pPr>
      <w:r w:rsidRPr="000A5A6B">
        <w:rPr>
          <w:color w:val="222222"/>
          <w:szCs w:val="22"/>
          <w:shd w:val="clear" w:color="auto" w:fill="FFFFFF"/>
        </w:rPr>
        <w:t>____. Federalismo, desenho constitucional e instituições federativas no Brasil pós-1988. </w:t>
      </w:r>
      <w:r w:rsidRPr="008F10F0">
        <w:rPr>
          <w:b/>
          <w:bCs/>
          <w:color w:val="222222"/>
          <w:szCs w:val="22"/>
          <w:shd w:val="clear" w:color="auto" w:fill="FFFFFF"/>
          <w:lang w:val="en-US"/>
        </w:rPr>
        <w:t>Revista de sociologia e política</w:t>
      </w:r>
      <w:r w:rsidRPr="008F10F0">
        <w:rPr>
          <w:color w:val="222222"/>
          <w:szCs w:val="22"/>
          <w:shd w:val="clear" w:color="auto" w:fill="FFFFFF"/>
          <w:lang w:val="en-US"/>
        </w:rPr>
        <w:t>, v. 24, n. 24, p. 105-122, 2005.</w:t>
      </w:r>
    </w:p>
    <w:p w:rsidR="008F10F0" w:rsidRPr="008F10F0" w:rsidRDefault="008F10F0" w:rsidP="008F10F0">
      <w:pPr>
        <w:autoSpaceDE w:val="0"/>
        <w:autoSpaceDN w:val="0"/>
        <w:adjustRightInd w:val="0"/>
        <w:jc w:val="both"/>
        <w:rPr>
          <w:color w:val="000000"/>
          <w:lang w:val="en-US"/>
        </w:rPr>
      </w:pPr>
    </w:p>
    <w:p w:rsidR="008F10F0" w:rsidRPr="00D43DB9" w:rsidRDefault="008F10F0" w:rsidP="008F10F0">
      <w:pPr>
        <w:autoSpaceDE w:val="0"/>
        <w:autoSpaceDN w:val="0"/>
        <w:adjustRightInd w:val="0"/>
        <w:jc w:val="both"/>
        <w:rPr>
          <w:color w:val="000000"/>
        </w:rPr>
      </w:pPr>
      <w:r w:rsidRPr="00D43DB9">
        <w:rPr>
          <w:color w:val="000000"/>
          <w:lang w:val="en-US"/>
        </w:rPr>
        <w:t xml:space="preserve">STONE, D. Learning Lessons and Transferring Policy Across time, Space and Disciplines, </w:t>
      </w:r>
      <w:r w:rsidRPr="00D43DB9">
        <w:rPr>
          <w:b/>
          <w:bCs/>
          <w:color w:val="000000"/>
          <w:lang w:val="en-US"/>
        </w:rPr>
        <w:t>Politics</w:t>
      </w:r>
      <w:r w:rsidRPr="00D43DB9">
        <w:rPr>
          <w:color w:val="000000"/>
          <w:lang w:val="en-US"/>
        </w:rPr>
        <w:t xml:space="preserve">, v.19, n.1, p. 51-59, 1999. </w:t>
      </w:r>
      <w:r w:rsidRPr="00D43DB9">
        <w:rPr>
          <w:color w:val="000000"/>
        </w:rPr>
        <w:t>Disponível em: &lt; http://onlinelibrary.wiley.com/doi/10.1111/1467-9256.00086/pdf&gt;. Acesso em: 01.ago.2010</w:t>
      </w:r>
    </w:p>
    <w:p w:rsidR="008F10F0" w:rsidRPr="00D43DB9" w:rsidRDefault="008F10F0" w:rsidP="008F10F0">
      <w:pPr>
        <w:autoSpaceDE w:val="0"/>
        <w:autoSpaceDN w:val="0"/>
        <w:adjustRightInd w:val="0"/>
        <w:jc w:val="both"/>
        <w:rPr>
          <w:color w:val="000000"/>
        </w:rPr>
      </w:pPr>
    </w:p>
    <w:p w:rsidR="008F10F0" w:rsidRPr="00281E4B" w:rsidRDefault="008F10F0" w:rsidP="008F10F0">
      <w:pPr>
        <w:jc w:val="both"/>
      </w:pPr>
      <w:r w:rsidRPr="00D43DB9">
        <w:rPr>
          <w:lang w:val="en-US"/>
        </w:rPr>
        <w:t>STONE, D.Transfer Agents and global networks in the “transnationalization” of policy.</w:t>
      </w:r>
      <w:r w:rsidRPr="00D43DB9">
        <w:rPr>
          <w:b/>
          <w:bCs/>
          <w:lang w:val="en-US"/>
        </w:rPr>
        <w:t>Journal of European Public Policy</w:t>
      </w:r>
      <w:r w:rsidRPr="00D43DB9">
        <w:rPr>
          <w:lang w:val="en-US"/>
        </w:rPr>
        <w:t xml:space="preserve">, v. 11, n.3, p. 545-566, 2004. </w:t>
      </w:r>
      <w:r w:rsidRPr="00BB28BF">
        <w:t xml:space="preserve">Disponível em:&lt;http://www.informaworld.com/smpp/content~db=all?content=10.1080/13501760410001694291&gt;. </w:t>
      </w:r>
      <w:r w:rsidRPr="00281E4B">
        <w:t>Acesso em: 18. jun. 2010.</w:t>
      </w:r>
    </w:p>
    <w:p w:rsidR="008F10F0" w:rsidRDefault="008F10F0" w:rsidP="008F10F0">
      <w:pPr>
        <w:jc w:val="both"/>
        <w:rPr>
          <w:color w:val="000000"/>
        </w:rPr>
      </w:pPr>
      <w:r w:rsidRPr="00D43DB9">
        <w:rPr>
          <w:color w:val="000000"/>
        </w:rPr>
        <w:lastRenderedPageBreak/>
        <w:t>16, jul/dez 2006.</w:t>
      </w:r>
    </w:p>
    <w:p w:rsidR="008F10F0" w:rsidRDefault="008F10F0" w:rsidP="008F10F0">
      <w:pPr>
        <w:jc w:val="both"/>
        <w:rPr>
          <w:color w:val="000000"/>
        </w:rPr>
      </w:pPr>
    </w:p>
    <w:p w:rsidR="008F10F0" w:rsidRPr="00030DEE" w:rsidRDefault="008F10F0" w:rsidP="008F10F0">
      <w:pPr>
        <w:jc w:val="both"/>
        <w:rPr>
          <w:color w:val="222222"/>
          <w:shd w:val="clear" w:color="auto" w:fill="FFFFFF"/>
        </w:rPr>
      </w:pPr>
      <w:r w:rsidRPr="00030DEE">
        <w:rPr>
          <w:color w:val="222222"/>
          <w:shd w:val="clear" w:color="auto" w:fill="FFFFFF"/>
        </w:rPr>
        <w:t>TAGINA, MARÍA LAURA. Elecciones de 2009 en Argentina: cambios en la distribución del poder y nuevos desafíos de cara a las presidenciales. </w:t>
      </w:r>
      <w:r w:rsidRPr="00030DEE">
        <w:rPr>
          <w:iCs/>
          <w:color w:val="222222"/>
          <w:shd w:val="clear" w:color="auto" w:fill="FFFFFF"/>
        </w:rPr>
        <w:t xml:space="preserve">América Latina: política y elecciones del bicentenario (2009–2010). Madrid: </w:t>
      </w:r>
      <w:r w:rsidRPr="00030DEE">
        <w:rPr>
          <w:b/>
          <w:iCs/>
          <w:color w:val="222222"/>
          <w:shd w:val="clear" w:color="auto" w:fill="FFFFFF"/>
        </w:rPr>
        <w:t>Centro de Estudios Políticos y Constitucionales</w:t>
      </w:r>
      <w:r w:rsidRPr="00030DEE">
        <w:rPr>
          <w:color w:val="222222"/>
          <w:shd w:val="clear" w:color="auto" w:fill="FFFFFF"/>
        </w:rPr>
        <w:t>, 2011.</w:t>
      </w:r>
    </w:p>
    <w:p w:rsidR="008F10F0" w:rsidRDefault="008F10F0" w:rsidP="008F10F0">
      <w:pPr>
        <w:jc w:val="both"/>
        <w:rPr>
          <w:color w:val="000000"/>
        </w:rPr>
      </w:pPr>
    </w:p>
    <w:p w:rsidR="008F10F0" w:rsidRDefault="008F10F0" w:rsidP="008F10F0">
      <w:pPr>
        <w:jc w:val="both"/>
      </w:pPr>
      <w:r w:rsidRPr="00CC0550">
        <w:rPr>
          <w:color w:val="222222"/>
          <w:shd w:val="clear" w:color="auto" w:fill="FFFFFF"/>
        </w:rPr>
        <w:t>TENEWICKI, Marta Irene. Balance, debate y perspectivas de las reformas neoliberales en América Latina.</w:t>
      </w:r>
      <w:r>
        <w:t>X Jornadas Interescuelas/Departamentos de Historia. Escuela de Historia de la Facultad de Humanidades y Artes, Universidad Nacional del Rosario. Departamento de Historia de la Facultad de Ciencias de la Educación, Universidad Nacional del Litoral, Rosario. 2005.</w:t>
      </w:r>
    </w:p>
    <w:p w:rsidR="0077642E" w:rsidRDefault="0077642E" w:rsidP="008F10F0">
      <w:pPr>
        <w:jc w:val="both"/>
      </w:pPr>
    </w:p>
    <w:p w:rsidR="00F6403F" w:rsidRDefault="00F6403F" w:rsidP="00F6403F">
      <w:pPr>
        <w:jc w:val="both"/>
      </w:pPr>
      <w:r>
        <w:t>ZUBELZÚ, G. et al (2005), Provincias y Relaciones Internacionales, en Segundo Informe de Relevamiento y Diagnóstico, Programa de Naciones Unidas para el Desarrollo (PNUD) y Comité de Provincias en el plano internacional del Consejo Argentino para las Relaciones Internacionales (CARI).</w:t>
      </w: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F6403F" w:rsidRDefault="00F6403F" w:rsidP="008F10F0">
      <w:pPr>
        <w:jc w:val="both"/>
      </w:pPr>
    </w:p>
    <w:p w:rsidR="0077642E" w:rsidRDefault="0077642E" w:rsidP="008F10F0">
      <w:pPr>
        <w:jc w:val="both"/>
      </w:pPr>
    </w:p>
    <w:p w:rsidR="0077642E" w:rsidRDefault="0077642E" w:rsidP="0077642E">
      <w:pPr>
        <w:jc w:val="both"/>
      </w:pPr>
    </w:p>
    <w:p w:rsidR="0077642E" w:rsidRDefault="0077642E" w:rsidP="0077642E">
      <w:pPr>
        <w:jc w:val="both"/>
      </w:pPr>
      <w:r>
        <w:t xml:space="preserve">APÊNDICE </w:t>
      </w:r>
      <w:r w:rsidR="002260BF">
        <w:t>A</w:t>
      </w:r>
      <w:r>
        <w:t>: DOCUMENTOS</w:t>
      </w:r>
    </w:p>
    <w:p w:rsidR="0077642E" w:rsidRDefault="0077642E" w:rsidP="0077642E">
      <w:pPr>
        <w:jc w:val="both"/>
      </w:pPr>
    </w:p>
    <w:p w:rsidR="0077642E" w:rsidRDefault="0077642E" w:rsidP="0077642E">
      <w:pPr>
        <w:jc w:val="both"/>
      </w:pPr>
    </w:p>
    <w:p w:rsidR="0077642E" w:rsidRDefault="0077642E" w:rsidP="0077642E">
      <w:pPr>
        <w:jc w:val="both"/>
      </w:pPr>
      <w:r>
        <w:t>A.</w:t>
      </w:r>
      <w:r>
        <w:tab/>
        <w:t>Manual de identidade visual - Unidades de Pronto Atendimento – UPA 24h. Governo Federal – Brasil (CAPA). 28 páginas.</w:t>
      </w:r>
    </w:p>
    <w:p w:rsidR="0077642E" w:rsidRDefault="0077642E" w:rsidP="0077642E">
      <w:pPr>
        <w:jc w:val="both"/>
      </w:pPr>
      <w:r>
        <w:lastRenderedPageBreak/>
        <w:t>Coordenação Nacional - Unidades de Pronto Atendimento – UPA 24h</w:t>
      </w:r>
    </w:p>
    <w:p w:rsidR="0077642E" w:rsidRDefault="0077642E" w:rsidP="0077642E">
      <w:pPr>
        <w:jc w:val="both"/>
      </w:pPr>
      <w:r>
        <w:t>Secretaria de Atenção à Saúde</w:t>
      </w:r>
    </w:p>
    <w:p w:rsidR="0077642E" w:rsidRDefault="0077642E" w:rsidP="0077642E">
      <w:pPr>
        <w:jc w:val="both"/>
      </w:pPr>
      <w:r>
        <w:t>Ministério da Saúde</w:t>
      </w:r>
    </w:p>
    <w:p w:rsidR="0077642E" w:rsidRDefault="0077642E" w:rsidP="0077642E">
      <w:pPr>
        <w:jc w:val="both"/>
      </w:pPr>
    </w:p>
    <w:p w:rsidR="0077642E" w:rsidRDefault="0077642E" w:rsidP="0077642E">
      <w:pPr>
        <w:jc w:val="center"/>
      </w:pPr>
      <w:r w:rsidRPr="0077642E">
        <w:rPr>
          <w:noProof/>
        </w:rPr>
        <w:drawing>
          <wp:inline distT="0" distB="0" distL="0" distR="0">
            <wp:extent cx="4844415" cy="2601595"/>
            <wp:effectExtent l="0" t="0" r="0" b="8255"/>
            <wp:docPr id="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9575" b="8479"/>
                    <a:stretch>
                      <a:fillRect/>
                    </a:stretch>
                  </pic:blipFill>
                  <pic:spPr bwMode="auto">
                    <a:xfrm>
                      <a:off x="0" y="0"/>
                      <a:ext cx="4844415" cy="2601595"/>
                    </a:xfrm>
                    <a:prstGeom prst="rect">
                      <a:avLst/>
                    </a:prstGeom>
                    <a:noFill/>
                    <a:ln>
                      <a:noFill/>
                    </a:ln>
                  </pic:spPr>
                </pic:pic>
              </a:graphicData>
            </a:graphic>
          </wp:inline>
        </w:drawing>
      </w:r>
    </w:p>
    <w:p w:rsidR="0077642E" w:rsidRDefault="0077642E" w:rsidP="0077642E">
      <w:pPr>
        <w:jc w:val="both"/>
      </w:pPr>
    </w:p>
    <w:p w:rsidR="0077642E" w:rsidRDefault="0077642E" w:rsidP="0077642E">
      <w:pPr>
        <w:jc w:val="both"/>
      </w:pPr>
      <w:r>
        <w:t>B.</w:t>
      </w:r>
      <w:r>
        <w:tab/>
        <w:t>Presentacion Señaletica  - Unidad de Pronta Atención 24 Hs. Gob. Daniel Scioli – Provincia de Buenos Aires (CAPA). 15 páginas</w:t>
      </w:r>
    </w:p>
    <w:p w:rsidR="0077642E" w:rsidRDefault="0077642E" w:rsidP="0077642E">
      <w:pPr>
        <w:jc w:val="both"/>
      </w:pPr>
      <w:r>
        <w:t>Ministerio de Salud</w:t>
      </w:r>
    </w:p>
    <w:p w:rsidR="0077642E" w:rsidRDefault="0077642E" w:rsidP="0077642E">
      <w:pPr>
        <w:jc w:val="both"/>
      </w:pPr>
    </w:p>
    <w:p w:rsidR="0077642E" w:rsidRDefault="0077642E" w:rsidP="0077642E">
      <w:pPr>
        <w:jc w:val="center"/>
      </w:pPr>
      <w:r w:rsidRPr="0077642E">
        <w:rPr>
          <w:noProof/>
        </w:rPr>
        <w:drawing>
          <wp:inline distT="0" distB="0" distL="0" distR="0">
            <wp:extent cx="4375785" cy="2362200"/>
            <wp:effectExtent l="0" t="0" r="5715" b="0"/>
            <wp:docPr id="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3770" b="5499"/>
                    <a:stretch>
                      <a:fillRect/>
                    </a:stretch>
                  </pic:blipFill>
                  <pic:spPr bwMode="auto">
                    <a:xfrm>
                      <a:off x="0" y="0"/>
                      <a:ext cx="4375785" cy="2362200"/>
                    </a:xfrm>
                    <a:prstGeom prst="rect">
                      <a:avLst/>
                    </a:prstGeom>
                    <a:noFill/>
                    <a:ln>
                      <a:noFill/>
                    </a:ln>
                  </pic:spPr>
                </pic:pic>
              </a:graphicData>
            </a:graphic>
          </wp:inline>
        </w:drawing>
      </w:r>
    </w:p>
    <w:p w:rsidR="0077642E" w:rsidRDefault="0077642E" w:rsidP="0077642E">
      <w:pPr>
        <w:jc w:val="both"/>
      </w:pPr>
    </w:p>
    <w:p w:rsidR="0077642E" w:rsidRDefault="0077642E" w:rsidP="0077642E">
      <w:pPr>
        <w:jc w:val="both"/>
      </w:pPr>
    </w:p>
    <w:p w:rsidR="0077642E" w:rsidRDefault="0077642E" w:rsidP="0077642E">
      <w:pPr>
        <w:jc w:val="both"/>
      </w:pPr>
    </w:p>
    <w:p w:rsidR="0077642E" w:rsidRDefault="0077642E" w:rsidP="0077642E">
      <w:pPr>
        <w:jc w:val="both"/>
      </w:pPr>
    </w:p>
    <w:p w:rsidR="0077642E" w:rsidRDefault="0077642E" w:rsidP="0077642E">
      <w:pPr>
        <w:jc w:val="both"/>
      </w:pPr>
    </w:p>
    <w:p w:rsidR="0077642E" w:rsidRDefault="0077642E" w:rsidP="0077642E">
      <w:pPr>
        <w:jc w:val="both"/>
      </w:pPr>
    </w:p>
    <w:p w:rsidR="0077642E" w:rsidRDefault="0077642E" w:rsidP="0077642E">
      <w:pPr>
        <w:jc w:val="both"/>
      </w:pPr>
    </w:p>
    <w:p w:rsidR="0077642E" w:rsidRDefault="0077642E" w:rsidP="0077642E">
      <w:pPr>
        <w:jc w:val="both"/>
      </w:pPr>
      <w:r>
        <w:t>C.</w:t>
      </w:r>
      <w:r>
        <w:tab/>
        <w:t>Libro - UPA 2015.  Ministerio de Salud -  Gob. Daniel Scioli – Provincia de Buenos Aires – CAPA. 8 páginas.</w:t>
      </w:r>
    </w:p>
    <w:p w:rsidR="0077642E" w:rsidRDefault="0077642E" w:rsidP="0077642E">
      <w:pPr>
        <w:jc w:val="both"/>
      </w:pPr>
    </w:p>
    <w:p w:rsidR="0077642E" w:rsidRDefault="0077642E" w:rsidP="0077642E">
      <w:pPr>
        <w:jc w:val="both"/>
      </w:pPr>
    </w:p>
    <w:p w:rsidR="0077642E" w:rsidRDefault="0077642E" w:rsidP="0077642E">
      <w:pPr>
        <w:jc w:val="center"/>
      </w:pPr>
      <w:r w:rsidRPr="0077642E">
        <w:rPr>
          <w:noProof/>
        </w:rPr>
        <w:lastRenderedPageBreak/>
        <w:drawing>
          <wp:inline distT="0" distB="0" distL="0" distR="0">
            <wp:extent cx="4745990" cy="3439795"/>
            <wp:effectExtent l="0" t="0" r="0" b="8255"/>
            <wp:docPr id="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578" t="2145" b="2409"/>
                    <a:stretch>
                      <a:fillRect/>
                    </a:stretch>
                  </pic:blipFill>
                  <pic:spPr bwMode="auto">
                    <a:xfrm>
                      <a:off x="0" y="0"/>
                      <a:ext cx="4745990" cy="3439795"/>
                    </a:xfrm>
                    <a:prstGeom prst="rect">
                      <a:avLst/>
                    </a:prstGeom>
                    <a:noFill/>
                    <a:ln>
                      <a:noFill/>
                    </a:ln>
                  </pic:spPr>
                </pic:pic>
              </a:graphicData>
            </a:graphic>
          </wp:inline>
        </w:drawing>
      </w:r>
    </w:p>
    <w:p w:rsidR="0077642E" w:rsidRDefault="0077642E" w:rsidP="0077642E">
      <w:pPr>
        <w:jc w:val="both"/>
      </w:pPr>
    </w:p>
    <w:p w:rsidR="0077642E" w:rsidRDefault="0077642E" w:rsidP="0077642E">
      <w:pPr>
        <w:jc w:val="both"/>
      </w:pPr>
      <w:r>
        <w:t>D.</w:t>
      </w:r>
      <w:r>
        <w:tab/>
        <w:t>Presentacion Señaletica  - Unidad de Pronta Atención 24 Hs. Gob. Daniel Scioli – Provincia de Buenos Aires (Mural pared). 15 páginas</w:t>
      </w:r>
    </w:p>
    <w:p w:rsidR="0077642E" w:rsidRDefault="0077642E" w:rsidP="0077642E">
      <w:pPr>
        <w:jc w:val="both"/>
      </w:pPr>
      <w:r>
        <w:t>Ministerio de Salud</w:t>
      </w:r>
    </w:p>
    <w:p w:rsidR="0077642E" w:rsidRDefault="0077642E" w:rsidP="008F10F0">
      <w:pPr>
        <w:jc w:val="both"/>
      </w:pPr>
    </w:p>
    <w:p w:rsidR="0077642E" w:rsidRDefault="0077642E" w:rsidP="008F10F0">
      <w:pPr>
        <w:jc w:val="both"/>
      </w:pPr>
    </w:p>
    <w:p w:rsidR="0077642E" w:rsidRDefault="0077642E" w:rsidP="0077642E">
      <w:pPr>
        <w:jc w:val="center"/>
      </w:pPr>
      <w:r w:rsidRPr="0077642E">
        <w:rPr>
          <w:noProof/>
        </w:rPr>
        <w:drawing>
          <wp:inline distT="0" distB="0" distL="0" distR="0">
            <wp:extent cx="5344795" cy="2982595"/>
            <wp:effectExtent l="0" t="0" r="8255" b="8255"/>
            <wp:docPr id="8"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r="1180" b="6149"/>
                    <a:stretch>
                      <a:fillRect/>
                    </a:stretch>
                  </pic:blipFill>
                  <pic:spPr bwMode="auto">
                    <a:xfrm>
                      <a:off x="0" y="0"/>
                      <a:ext cx="5344795" cy="2982595"/>
                    </a:xfrm>
                    <a:prstGeom prst="rect">
                      <a:avLst/>
                    </a:prstGeom>
                    <a:noFill/>
                    <a:ln>
                      <a:noFill/>
                    </a:ln>
                  </pic:spPr>
                </pic:pic>
              </a:graphicData>
            </a:graphic>
          </wp:inline>
        </w:drawing>
      </w:r>
    </w:p>
    <w:sectPr w:rsidR="0077642E" w:rsidSect="005513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19" w:rsidRDefault="00927E19" w:rsidP="002D07C8">
      <w:r>
        <w:separator/>
      </w:r>
    </w:p>
  </w:endnote>
  <w:endnote w:type="continuationSeparator" w:id="0">
    <w:p w:rsidR="00927E19" w:rsidRDefault="00927E19" w:rsidP="002D07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OfficinaSans LT Book">
    <w:altName w:val="ITCOfficinaSans LT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nion Bold">
    <w:altName w:val="Minion Bold"/>
    <w:panose1 w:val="00000000000000000000"/>
    <w:charset w:val="00"/>
    <w:family w:val="roman"/>
    <w:notTrueType/>
    <w:pitch w:val="default"/>
    <w:sig w:usb0="00000003" w:usb1="00000000" w:usb2="00000000" w:usb3="00000000" w:csb0="00000001"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ransit521 BT">
    <w:altName w:val="Transit521 BT"/>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AdvTR">
    <w:altName w:val="Cambria"/>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LTStd-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FD" w:rsidRDefault="001A7B88">
    <w:pPr>
      <w:pStyle w:val="Rodap"/>
      <w:jc w:val="right"/>
    </w:pPr>
    <w:fldSimple w:instr="PAGE   \* MERGEFORMAT">
      <w:r w:rsidR="00BA51C5">
        <w:rPr>
          <w:noProof/>
        </w:rPr>
        <w:t>66</w:t>
      </w:r>
    </w:fldSimple>
  </w:p>
  <w:p w:rsidR="00BC7BFD" w:rsidRDefault="00BC7B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19" w:rsidRDefault="00927E19" w:rsidP="002D07C8">
      <w:r>
        <w:separator/>
      </w:r>
    </w:p>
  </w:footnote>
  <w:footnote w:type="continuationSeparator" w:id="0">
    <w:p w:rsidR="00927E19" w:rsidRDefault="00927E19" w:rsidP="002D07C8">
      <w:r>
        <w:continuationSeparator/>
      </w:r>
    </w:p>
  </w:footnote>
  <w:footnote w:id="1">
    <w:p w:rsidR="00BC7BFD" w:rsidRPr="00F3536A" w:rsidRDefault="00BC7BFD" w:rsidP="00152F37">
      <w:pPr>
        <w:pStyle w:val="Textodenotaderodap"/>
        <w:rPr>
          <w:rFonts w:ascii="Times New Roman" w:hAnsi="Times New Roman"/>
        </w:rPr>
      </w:pPr>
      <w:r w:rsidRPr="00F3536A">
        <w:rPr>
          <w:rStyle w:val="Refdenotaderodap"/>
          <w:rFonts w:ascii="Times New Roman" w:hAnsi="Times New Roman"/>
        </w:rPr>
        <w:footnoteRef/>
      </w:r>
      <w:r w:rsidRPr="00F3536A">
        <w:rPr>
          <w:rFonts w:ascii="Times New Roman" w:hAnsi="Times New Roman"/>
          <w:color w:val="000000"/>
        </w:rPr>
        <w:t>Concentrando sua atenção ao caso de Difusão Internacional da experiência do Orçamento Participativo</w:t>
      </w:r>
    </w:p>
  </w:footnote>
  <w:footnote w:id="2">
    <w:p w:rsidR="00BC7BFD" w:rsidRPr="00075A90" w:rsidRDefault="00BC7BFD" w:rsidP="00C82228">
      <w:pPr>
        <w:pStyle w:val="Textodenotaderodap"/>
        <w:rPr>
          <w:rFonts w:ascii="Times New Roman" w:hAnsi="Times New Roman"/>
        </w:rPr>
      </w:pPr>
      <w:r w:rsidRPr="00075A90">
        <w:rPr>
          <w:rStyle w:val="Refdenotaderodap"/>
          <w:rFonts w:ascii="Times New Roman" w:hAnsi="Times New Roman"/>
        </w:rPr>
        <w:footnoteRef/>
      </w:r>
      <w:r w:rsidRPr="00075A90">
        <w:rPr>
          <w:rFonts w:ascii="Times New Roman" w:hAnsi="Times New Roman"/>
        </w:rPr>
        <w:t xml:space="preserve"> Para o caso brasileiro recorrendo a lei de acesso a informação no. 12527 (2011). Para o caso Argentino o Decreto no. 1172 (Anexo VII) (2003).</w:t>
      </w:r>
    </w:p>
  </w:footnote>
  <w:footnote w:id="3">
    <w:p w:rsidR="00BC7BFD" w:rsidRPr="00FF4797" w:rsidRDefault="00BC7BFD">
      <w:pPr>
        <w:pStyle w:val="Textodenotaderodap"/>
        <w:rPr>
          <w:rFonts w:ascii="Times New Roman" w:hAnsi="Times New Roman"/>
        </w:rPr>
      </w:pPr>
      <w:r>
        <w:rPr>
          <w:rStyle w:val="Refdenotaderodap"/>
        </w:rPr>
        <w:footnoteRef/>
      </w:r>
      <w:r>
        <w:t xml:space="preserve"> </w:t>
      </w:r>
      <w:r w:rsidRPr="00FF4797">
        <w:rPr>
          <w:rFonts w:ascii="Times New Roman" w:hAnsi="Times New Roman"/>
        </w:rPr>
        <w:t>“los acuerdos bilaterales, cabe señalar que se han convertido en los instrumentos más comunes suscritos entre estos actores (unidades subnacionais) internacionales”</w:t>
      </w:r>
    </w:p>
  </w:footnote>
  <w:footnote w:id="4">
    <w:p w:rsidR="00BC7BFD" w:rsidRPr="007D2078" w:rsidRDefault="00BC7BFD">
      <w:pPr>
        <w:pStyle w:val="Textodenotaderodap"/>
        <w:rPr>
          <w:rFonts w:ascii="Times New Roman" w:hAnsi="Times New Roman"/>
        </w:rPr>
      </w:pPr>
      <w:r w:rsidRPr="007D2078">
        <w:rPr>
          <w:rStyle w:val="Refdenotaderodap"/>
          <w:rFonts w:ascii="Times New Roman" w:hAnsi="Times New Roman"/>
        </w:rPr>
        <w:footnoteRef/>
      </w:r>
      <w:r w:rsidRPr="007D2078">
        <w:rPr>
          <w:rFonts w:ascii="Times New Roman" w:hAnsi="Times New Roman"/>
        </w:rPr>
        <w:t xml:space="preserve"> “instrumentos concretos, tangibles y factibles de cooperación, asentados en una base común de voluntades e intereses a corto, mediano y largo plazo, involucrando dos (cooperación bilateral) o más (cooperación multilateral) gobiernos locales/regionales”.</w:t>
      </w:r>
    </w:p>
  </w:footnote>
  <w:footnote w:id="5">
    <w:p w:rsidR="00BC7BFD" w:rsidRPr="00FF4797" w:rsidRDefault="00BC7BFD" w:rsidP="002D07C8">
      <w:pPr>
        <w:pStyle w:val="Textodenotaderodap"/>
        <w:rPr>
          <w:rFonts w:ascii="Times New Roman" w:hAnsi="Times New Roman"/>
        </w:rPr>
      </w:pPr>
      <w:r w:rsidRPr="00FF4797">
        <w:rPr>
          <w:rStyle w:val="Refdenotaderodap"/>
          <w:rFonts w:ascii="Times New Roman" w:hAnsi="Times New Roman"/>
        </w:rPr>
        <w:footnoteRef/>
      </w:r>
      <w:r w:rsidRPr="00FF4797">
        <w:rPr>
          <w:rFonts w:ascii="Times New Roman" w:hAnsi="Times New Roman"/>
        </w:rPr>
        <w:t xml:space="preserve"> ARRETCHE, Marta. Federalismo e políticas sociais no Brasil: problemas de coordenação e autonomia. São Paulo Perspec.,  São Paulo ,  v. 18, n. 2, p. 17-26,  June  2004 .</w:t>
      </w:r>
    </w:p>
  </w:footnote>
  <w:footnote w:id="6">
    <w:p w:rsidR="00BC7BFD" w:rsidRPr="00C21643" w:rsidRDefault="00BC7BFD" w:rsidP="002D07C8">
      <w:pPr>
        <w:pStyle w:val="Textodenotaderodap"/>
        <w:rPr>
          <w:rFonts w:ascii="Times New Roman" w:hAnsi="Times New Roman"/>
        </w:rPr>
      </w:pPr>
      <w:r w:rsidRPr="00C21643">
        <w:rPr>
          <w:rStyle w:val="Refdenotaderodap"/>
          <w:rFonts w:ascii="Times New Roman" w:hAnsi="Times New Roman"/>
        </w:rPr>
        <w:footnoteRef/>
      </w:r>
      <w:r w:rsidRPr="00C21643">
        <w:rPr>
          <w:rFonts w:ascii="Times New Roman" w:hAnsi="Times New Roman"/>
        </w:rPr>
        <w:t xml:space="preserve"> Campomar, B., &amp; Delneri, M. (2012, November). Carrera política de los gobernadores en Argentina. In 4 Congreso Uruguayo de Ciencia Política.</w:t>
      </w:r>
    </w:p>
  </w:footnote>
  <w:footnote w:id="7">
    <w:p w:rsidR="00BC7BFD" w:rsidRPr="00C21643" w:rsidRDefault="00BC7BFD" w:rsidP="002D07C8">
      <w:pPr>
        <w:pStyle w:val="Textodenotaderodap"/>
        <w:rPr>
          <w:rFonts w:ascii="Times New Roman" w:hAnsi="Times New Roman"/>
        </w:rPr>
      </w:pPr>
      <w:r w:rsidRPr="00C21643">
        <w:rPr>
          <w:rStyle w:val="Refdenotaderodap"/>
          <w:rFonts w:ascii="Times New Roman" w:hAnsi="Times New Roman"/>
        </w:rPr>
        <w:footnoteRef/>
      </w:r>
      <w:r w:rsidRPr="00C21643">
        <w:rPr>
          <w:rFonts w:ascii="Times New Roman" w:hAnsi="Times New Roman"/>
          <w:color w:val="000000"/>
          <w:lang w:eastAsia="pt-BR"/>
        </w:rPr>
        <w:t>COSTA, Luiz Domingos; MASSIMO, Lucas. </w:t>
      </w:r>
      <w:r w:rsidRPr="00C21643">
        <w:rPr>
          <w:rFonts w:ascii="Times New Roman" w:hAnsi="Times New Roman"/>
          <w:b/>
          <w:bCs/>
          <w:i/>
          <w:iCs/>
          <w:color w:val="000000"/>
          <w:lang w:eastAsia="pt-BR"/>
        </w:rPr>
        <w:t>Carreira política e o background social da classe política brasileira: senadores, 1986-2010 </w:t>
      </w:r>
      <w:r w:rsidRPr="00C21643">
        <w:rPr>
          <w:rFonts w:ascii="Times New Roman" w:hAnsi="Times New Roman"/>
          <w:b/>
          <w:bCs/>
          <w:color w:val="000000"/>
          <w:lang w:eastAsia="pt-BR"/>
        </w:rPr>
        <w:t>(Banco de dados)</w:t>
      </w:r>
      <w:r w:rsidRPr="00C21643">
        <w:rPr>
          <w:rFonts w:ascii="Times New Roman" w:hAnsi="Times New Roman"/>
          <w:color w:val="000000"/>
          <w:lang w:eastAsia="pt-BR"/>
        </w:rPr>
        <w:t>. Curitiba: Universidade Federal do Paraná (UFPR). In: Observatório de Elites Políticas e Sociais do Brasil, 2016. Disponível em: &lt;http://observatory-elites.org/&gt;. </w:t>
      </w:r>
    </w:p>
  </w:footnote>
  <w:footnote w:id="8">
    <w:p w:rsidR="00BC7BFD" w:rsidRPr="00DD7846" w:rsidRDefault="00BC7BFD" w:rsidP="002D07C8">
      <w:pPr>
        <w:pStyle w:val="Textodenotaderodap"/>
      </w:pPr>
      <w:r w:rsidRPr="00C21643">
        <w:rPr>
          <w:rStyle w:val="Refdenotaderodap"/>
          <w:rFonts w:ascii="Times New Roman" w:hAnsi="Times New Roman"/>
        </w:rPr>
        <w:footnoteRef/>
      </w:r>
      <w:hyperlink r:id="rId1" w:history="1">
        <w:r w:rsidRPr="00C21643">
          <w:rPr>
            <w:rStyle w:val="Hyperlink"/>
            <w:rFonts w:ascii="Times New Roman" w:hAnsi="Times New Roman"/>
          </w:rPr>
          <w:t>http://observatory-elites.org/parliamentary-and-party-elites/</w:t>
        </w:r>
      </w:hyperlink>
    </w:p>
  </w:footnote>
  <w:footnote w:id="9">
    <w:p w:rsidR="00BC7BFD" w:rsidRPr="00F66443" w:rsidRDefault="00BC7BFD" w:rsidP="002D07C8">
      <w:pPr>
        <w:pStyle w:val="Textodenotaderodap"/>
        <w:rPr>
          <w:rFonts w:ascii="Times New Roman" w:hAnsi="Times New Roman"/>
          <w:lang w:val="en-US"/>
        </w:rPr>
      </w:pPr>
      <w:r w:rsidRPr="00F66443">
        <w:rPr>
          <w:rStyle w:val="Refdenotaderodap"/>
          <w:rFonts w:ascii="Times New Roman" w:hAnsi="Times New Roman"/>
        </w:rPr>
        <w:footnoteRef/>
      </w:r>
      <w:r w:rsidRPr="00F66443">
        <w:rPr>
          <w:rFonts w:ascii="Times New Roman" w:hAnsi="Times New Roman"/>
          <w:lang w:val="en-US"/>
        </w:rPr>
        <w:t xml:space="preserve"> “individual preferences, partisan affiliations, and constituency opinion pressure may lead a governador to Express opinion on any foreign policy issue.”</w:t>
      </w:r>
    </w:p>
  </w:footnote>
  <w:footnote w:id="10">
    <w:p w:rsidR="00BC7BFD" w:rsidRPr="007B4D20" w:rsidRDefault="00BC7BFD">
      <w:pPr>
        <w:pStyle w:val="Textodenotaderodap"/>
        <w:rPr>
          <w:rFonts w:ascii="Times New Roman" w:hAnsi="Times New Roman"/>
          <w:lang w:val="en-US"/>
        </w:rPr>
      </w:pPr>
      <w:r w:rsidRPr="007B4D20">
        <w:rPr>
          <w:rStyle w:val="Refdenotaderodap"/>
          <w:rFonts w:ascii="Times New Roman" w:hAnsi="Times New Roman"/>
        </w:rPr>
        <w:footnoteRef/>
      </w:r>
      <w:r w:rsidRPr="007B4D20">
        <w:rPr>
          <w:rFonts w:ascii="Times New Roman" w:hAnsi="Times New Roman"/>
          <w:lang w:val="en-US"/>
        </w:rPr>
        <w:t xml:space="preserve"> process tracing, to reiterate, is an analytic tool for drawing descriptive and causal inferences from diagnostic pieces of evidence— often understood as part of a temporal sequence of events or phenomena”</w:t>
      </w:r>
    </w:p>
  </w:footnote>
  <w:footnote w:id="11">
    <w:p w:rsidR="00BC7BFD" w:rsidRPr="00C82677" w:rsidRDefault="00BC7BFD">
      <w:pPr>
        <w:pStyle w:val="Textodenotaderodap"/>
      </w:pPr>
      <w:r>
        <w:rPr>
          <w:rStyle w:val="Refdenotaderodap"/>
        </w:rPr>
        <w:footnoteRef/>
      </w:r>
      <w:r w:rsidRPr="00C82677">
        <w:t xml:space="preserve"> </w:t>
      </w:r>
      <w:r w:rsidRPr="00C82677">
        <w:rPr>
          <w:rFonts w:ascii="Times New Roman" w:hAnsi="Times New Roman"/>
          <w:i/>
        </w:rPr>
        <w:t>las provincias han hecho un uso importante de las líneas de crédito del Banco Mundial (BM) y del BID.</w:t>
      </w:r>
    </w:p>
  </w:footnote>
  <w:footnote w:id="12">
    <w:p w:rsidR="00F6403F" w:rsidRPr="00F6403F" w:rsidRDefault="00F6403F">
      <w:pPr>
        <w:pStyle w:val="Textodenotaderodap"/>
      </w:pPr>
      <w:r>
        <w:rPr>
          <w:rStyle w:val="Refdenotaderodap"/>
        </w:rPr>
        <w:footnoteRef/>
      </w:r>
      <w:r w:rsidRPr="00F6403F">
        <w:t xml:space="preserve"> </w:t>
      </w:r>
      <w:r>
        <w:t xml:space="preserve">Objetivos: </w:t>
      </w:r>
      <w:r w:rsidRPr="00F6403F">
        <w:t>“1) Actuar como enlace permanente entre la Provincia y los Organismos de Crédito, con respecto a la ejecución de los programas con financiamiento de los Organismos Internacionales de Crédito, que se ejecuten en el territorio de la provincia y de aquéllos en que la Provincia tenga interés; 2) Recibir y atender las misiones de los Organismos Internacionales de Crédito. 3) Implementar las acciones tendientes al cumplimiento de las obligaciones asumidas por la Provincia en los convenios de préstamo suscriptos con Organismos Multilaterales de Crédito. 4) Coordinar la formulación de los proyectos de inversión en conjunto con la Unidad de Coordinación de Proyectos de Inversión Pública, Iniciativa Privada y Asociación Público Privada dependiente de la Subsecretaría de Inversión Pública. 5) Coordinar las negociaciones destinadas a la suscripción de convenios de préstamo financiados por Organismos Multilaterales de Crédito. 6) Gestionar y coordinar la administración financiera de los programas con financiamiento internacional. 7) Gestionar créditos y donaciones ante Organismos Multilaterales de Crédito tendiente al cumplimiento de los objetivos de la Dirección Provincial. 8) Colaborar en la formulación de los proyectos a partir de la identificación de los mismos en la Subsecretaría de Inversión Pública” (Ministerio De Economía de la Provincia de Buenos Aires, 2016</w:t>
      </w:r>
      <w:r>
        <w:t>)</w:t>
      </w:r>
    </w:p>
  </w:footnote>
  <w:footnote w:id="13">
    <w:p w:rsidR="00BC7BFD" w:rsidRPr="0086015B" w:rsidRDefault="00BC7BFD" w:rsidP="00701766">
      <w:pPr>
        <w:pStyle w:val="Textodenotaderodap"/>
        <w:rPr>
          <w:rFonts w:ascii="Times New Roman" w:hAnsi="Times New Roman"/>
          <w:lang w:val="en-US"/>
        </w:rPr>
      </w:pPr>
      <w:r w:rsidRPr="0086015B">
        <w:rPr>
          <w:rStyle w:val="Refdenotaderodap"/>
          <w:rFonts w:ascii="Times New Roman" w:hAnsi="Times New Roman"/>
        </w:rPr>
        <w:footnoteRef/>
      </w:r>
      <w:r w:rsidRPr="0086015B">
        <w:rPr>
          <w:rFonts w:ascii="Times New Roman" w:hAnsi="Times New Roman"/>
          <w:lang w:val="en-US"/>
        </w:rPr>
        <w:t xml:space="preserve">  “more flexible and formal approach to international relations, allowing provinces to enter into international agreements provided these do not compromise national foreign policy” (IGLESIAS E TAL, 2009).</w:t>
      </w:r>
    </w:p>
  </w:footnote>
  <w:footnote w:id="14">
    <w:p w:rsidR="00BC7BFD" w:rsidRPr="00E56362" w:rsidRDefault="00BC7BFD" w:rsidP="00701766">
      <w:pPr>
        <w:pStyle w:val="Textodenotaderodap"/>
      </w:pPr>
      <w:r>
        <w:rPr>
          <w:rStyle w:val="Refdenotaderodap"/>
        </w:rPr>
        <w:footnoteRef/>
      </w:r>
      <w:r w:rsidRPr="00E56362">
        <w:t xml:space="preserve"> </w:t>
      </w:r>
    </w:p>
  </w:footnote>
  <w:footnote w:id="15">
    <w:p w:rsidR="00BC7BFD" w:rsidRPr="003F0DF3" w:rsidRDefault="00BC7BFD">
      <w:pPr>
        <w:pStyle w:val="Textodenotaderodap"/>
        <w:rPr>
          <w:rFonts w:ascii="Times New Roman" w:hAnsi="Times New Roman"/>
        </w:rPr>
      </w:pPr>
      <w:r w:rsidRPr="003F0DF3">
        <w:rPr>
          <w:rStyle w:val="Refdenotaderodap"/>
          <w:rFonts w:ascii="Times New Roman" w:hAnsi="Times New Roman"/>
        </w:rPr>
        <w:footnoteRef/>
      </w:r>
      <w:r w:rsidRPr="003F0DF3">
        <w:rPr>
          <w:rFonts w:ascii="Times New Roman" w:hAnsi="Times New Roman"/>
        </w:rPr>
        <w:t xml:space="preserve"> </w:t>
      </w:r>
      <w:r w:rsidRPr="003F0DF3">
        <w:rPr>
          <w:rFonts w:ascii="Times New Roman" w:hAnsi="Times New Roman"/>
          <w:color w:val="222222"/>
          <w:shd w:val="clear" w:color="auto" w:fill="FFFFFF"/>
        </w:rPr>
        <w:t>COLACRAI, Miryam; ZUBELZÚ, Graciela. Las vinculaciones externas y la capacidad de gestión internacional desplegadas por las provincias argentinas en la última década. Una lectura desde las relaciones internacionales. </w:t>
      </w:r>
      <w:r w:rsidRPr="003F0DF3">
        <w:rPr>
          <w:rFonts w:ascii="Times New Roman" w:hAnsi="Times New Roman"/>
          <w:b/>
          <w:bCs/>
          <w:color w:val="222222"/>
          <w:shd w:val="clear" w:color="auto" w:fill="FFFFFF"/>
        </w:rPr>
        <w:t>A dimensão subnacional e as relações internacionais. São Paulo: Editora PUC/Editora UNESP/CEDEC/FAPESP</w:t>
      </w:r>
      <w:r w:rsidRPr="003F0DF3">
        <w:rPr>
          <w:rFonts w:ascii="Times New Roman" w:hAnsi="Times New Roman"/>
          <w:color w:val="222222"/>
          <w:shd w:val="clear" w:color="auto" w:fill="FFFFFF"/>
        </w:rPr>
        <w:t>, p. 313-344, 2004.</w:t>
      </w:r>
    </w:p>
  </w:footnote>
  <w:footnote w:id="16">
    <w:p w:rsidR="00BC7BFD" w:rsidRPr="003F0DF3" w:rsidRDefault="00BC7BFD" w:rsidP="00DF47C7">
      <w:pPr>
        <w:pStyle w:val="Textodenotaderodap"/>
        <w:rPr>
          <w:rFonts w:ascii="Times New Roman" w:hAnsi="Times New Roman"/>
        </w:rPr>
      </w:pPr>
      <w:r w:rsidRPr="003F0DF3">
        <w:rPr>
          <w:rStyle w:val="Refdenotaderodap"/>
          <w:rFonts w:ascii="Times New Roman" w:hAnsi="Times New Roman"/>
        </w:rPr>
        <w:footnoteRef/>
      </w:r>
      <w:r w:rsidRPr="003F0DF3">
        <w:rPr>
          <w:rFonts w:ascii="Times New Roman" w:hAnsi="Times New Roman"/>
        </w:rPr>
        <w:t xml:space="preserve"> </w:t>
      </w:r>
      <w:r w:rsidRPr="003F0DF3">
        <w:rPr>
          <w:rFonts w:ascii="Times New Roman" w:hAnsi="Times New Roman"/>
          <w:color w:val="222222"/>
          <w:shd w:val="clear" w:color="auto" w:fill="FFFFFF"/>
        </w:rPr>
        <w:t>COLACRAI, Miryam; ZUBELZÚ, Graciela. Las vinculaciones externas y la capacidad de gestión internacional desplegadas por las provincias argentinas en la última década. Una lectura desde las relaciones internacionales. </w:t>
      </w:r>
      <w:r w:rsidRPr="003F0DF3">
        <w:rPr>
          <w:rFonts w:ascii="Times New Roman" w:hAnsi="Times New Roman"/>
          <w:b/>
          <w:bCs/>
          <w:color w:val="222222"/>
          <w:shd w:val="clear" w:color="auto" w:fill="FFFFFF"/>
        </w:rPr>
        <w:t>A dimensão subnacional e as relações internacionais. São Paulo: Editora PUC/Editora UNESP/CEDEC/FAPESP</w:t>
      </w:r>
      <w:r w:rsidRPr="003F0DF3">
        <w:rPr>
          <w:rFonts w:ascii="Times New Roman" w:hAnsi="Times New Roman"/>
          <w:color w:val="222222"/>
          <w:shd w:val="clear" w:color="auto" w:fill="FFFFFF"/>
        </w:rPr>
        <w:t>, p. 313-344, 2004.</w:t>
      </w:r>
    </w:p>
  </w:footnote>
  <w:footnote w:id="17">
    <w:p w:rsidR="00BC7BFD" w:rsidRPr="00780F2C" w:rsidRDefault="00BC7BFD" w:rsidP="009B2034">
      <w:pPr>
        <w:pStyle w:val="Textodenotaderodap"/>
        <w:rPr>
          <w:rFonts w:ascii="Times New Roman" w:hAnsi="Times New Roman"/>
        </w:rPr>
      </w:pPr>
      <w:r w:rsidRPr="00780F2C">
        <w:rPr>
          <w:rStyle w:val="Refdenotaderodap"/>
          <w:rFonts w:eastAsia="Calibri"/>
        </w:rPr>
        <w:footnoteRef/>
      </w:r>
      <w:r w:rsidRPr="00780F2C">
        <w:rPr>
          <w:rFonts w:ascii="Times New Roman" w:hAnsi="Times New Roman"/>
        </w:rPr>
        <w:t xml:space="preserve"> Elenca-las </w:t>
      </w:r>
    </w:p>
  </w:footnote>
  <w:footnote w:id="18">
    <w:p w:rsidR="00BC7BFD" w:rsidRPr="00780F2C" w:rsidRDefault="00BC7BFD" w:rsidP="009B2034">
      <w:pPr>
        <w:pStyle w:val="Textodenotaderodap"/>
        <w:rPr>
          <w:rFonts w:ascii="Times New Roman" w:hAnsi="Times New Roman"/>
        </w:rPr>
      </w:pPr>
      <w:r w:rsidRPr="00780F2C">
        <w:rPr>
          <w:rStyle w:val="Refdenotaderodap"/>
          <w:rFonts w:eastAsia="Calibri"/>
        </w:rPr>
        <w:footnoteRef/>
      </w:r>
      <w:r>
        <w:rPr>
          <w:rFonts w:ascii="Times New Roman" w:hAnsi="Times New Roman"/>
        </w:rPr>
        <w:t xml:space="preserve"> </w:t>
      </w:r>
      <w:r w:rsidRPr="00780F2C">
        <w:rPr>
          <w:rFonts w:ascii="Times New Roman" w:hAnsi="Times New Roman"/>
        </w:rPr>
        <w:t xml:space="preserve">O termo nacionalização tem relação com o grau de impacto que a política nacional tem em um determinado território </w:t>
      </w:r>
      <w:r w:rsidRPr="00780F2C">
        <w:rPr>
          <w:rFonts w:ascii="Times New Roman" w:hAnsi="Times New Roman"/>
          <w:color w:val="212121"/>
        </w:rPr>
        <w:t xml:space="preserve">(Rodriguez, 2009; Lanzini, Erbiti, 2012; </w:t>
      </w:r>
      <w:r w:rsidRPr="00780F2C">
        <w:rPr>
          <w:rFonts w:ascii="Times New Roman" w:hAnsi="Times New Roman"/>
        </w:rPr>
        <w:t>Ollier, 2010: 15</w:t>
      </w:r>
      <w:r w:rsidRPr="00780F2C">
        <w:rPr>
          <w:rFonts w:ascii="Times New Roman" w:hAnsi="Times New Roman"/>
          <w:color w:val="212121"/>
        </w:rPr>
        <w:t>)</w:t>
      </w:r>
    </w:p>
  </w:footnote>
  <w:footnote w:id="19">
    <w:p w:rsidR="00BC7BFD" w:rsidRDefault="00BC7BFD" w:rsidP="009B2034">
      <w:pPr>
        <w:pStyle w:val="Textodenotaderodap"/>
      </w:pPr>
      <w:r w:rsidRPr="00780F2C">
        <w:rPr>
          <w:rStyle w:val="Refdenotaderodap"/>
          <w:rFonts w:eastAsia="Calibri"/>
        </w:rPr>
        <w:footnoteRef/>
      </w:r>
      <w:r w:rsidRPr="00780F2C">
        <w:rPr>
          <w:rFonts w:ascii="Times New Roman" w:hAnsi="Times New Roman"/>
        </w:rPr>
        <w:t xml:space="preserve"> Scioli demostraba una visible sintonía con los sectores más independientes y poco afectos votar en función de una identificación partidaria; y por el otro, su figura era digerible, principalmente en comparación con Felipe Solá, para el paladar de los históricos referentes distritales, responsables máximos del andar de las estructuras políticas en el conurbano. (Rodriguez, 2009)</w:t>
      </w:r>
    </w:p>
  </w:footnote>
  <w:footnote w:id="20">
    <w:p w:rsidR="00BC7BFD" w:rsidRPr="00080EAD" w:rsidRDefault="00BC7BFD" w:rsidP="0060512E">
      <w:pPr>
        <w:pStyle w:val="Textodenotaderodap"/>
        <w:rPr>
          <w:rFonts w:ascii="Times New Roman" w:hAnsi="Times New Roman"/>
        </w:rPr>
      </w:pPr>
      <w:r w:rsidRPr="00080EAD">
        <w:rPr>
          <w:rStyle w:val="Refdenotaderodap"/>
          <w:rFonts w:ascii="Times New Roman" w:hAnsi="Times New Roman"/>
        </w:rPr>
        <w:footnoteRef/>
      </w:r>
      <w:r w:rsidRPr="00080EAD">
        <w:rPr>
          <w:rFonts w:ascii="Times New Roman" w:hAnsi="Times New Roman"/>
        </w:rPr>
        <w:t xml:space="preserve"> O autor computou os dados por meio de um survey e dessa maneira apresentou os resultados para os estados que responderam o questionário. </w:t>
      </w:r>
    </w:p>
  </w:footnote>
  <w:footnote w:id="21">
    <w:p w:rsidR="00BC7BFD" w:rsidRPr="00B16955" w:rsidRDefault="00BC7BFD">
      <w:pPr>
        <w:pStyle w:val="Textodenotaderodap"/>
        <w:rPr>
          <w:rFonts w:ascii="Times New Roman" w:hAnsi="Times New Roman"/>
        </w:rPr>
      </w:pPr>
      <w:r w:rsidRPr="00B16955">
        <w:rPr>
          <w:rStyle w:val="Refdenotaderodap"/>
          <w:rFonts w:ascii="Times New Roman" w:hAnsi="Times New Roman"/>
        </w:rPr>
        <w:footnoteRef/>
      </w:r>
      <w:r w:rsidRPr="00B16955">
        <w:rPr>
          <w:rFonts w:ascii="Times New Roman" w:hAnsi="Times New Roman"/>
        </w:rPr>
        <w:t xml:space="preserve"> Foi subsecret</w:t>
      </w:r>
      <w:r>
        <w:rPr>
          <w:rFonts w:ascii="Times New Roman" w:hAnsi="Times New Roman"/>
        </w:rPr>
        <w:t>ário n</w:t>
      </w:r>
      <w:r w:rsidRPr="00B16955">
        <w:rPr>
          <w:rFonts w:ascii="Times New Roman" w:hAnsi="Times New Roman"/>
        </w:rPr>
        <w:t>a Subsecretaria de Relações Internacionais do Governo do Estado do Rio de Janeiro</w:t>
      </w:r>
      <w:r>
        <w:rPr>
          <w:rFonts w:ascii="Times New Roman" w:hAnsi="Times New Roman"/>
        </w:rPr>
        <w:t xml:space="preserve"> SSRI-RJ.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F7"/>
    <w:multiLevelType w:val="hybridMultilevel"/>
    <w:tmpl w:val="9E94308A"/>
    <w:lvl w:ilvl="0" w:tplc="A3428C68">
      <w:start w:val="1"/>
      <w:numFmt w:val="bullet"/>
      <w:lvlText w:val="•"/>
      <w:lvlJc w:val="left"/>
      <w:pPr>
        <w:tabs>
          <w:tab w:val="num" w:pos="720"/>
        </w:tabs>
        <w:ind w:left="720" w:hanging="360"/>
      </w:pPr>
      <w:rPr>
        <w:rFonts w:ascii="Arial" w:hAnsi="Arial" w:hint="default"/>
      </w:rPr>
    </w:lvl>
    <w:lvl w:ilvl="1" w:tplc="E7FA11B6" w:tentative="1">
      <w:start w:val="1"/>
      <w:numFmt w:val="bullet"/>
      <w:lvlText w:val="•"/>
      <w:lvlJc w:val="left"/>
      <w:pPr>
        <w:tabs>
          <w:tab w:val="num" w:pos="1440"/>
        </w:tabs>
        <w:ind w:left="1440" w:hanging="360"/>
      </w:pPr>
      <w:rPr>
        <w:rFonts w:ascii="Arial" w:hAnsi="Arial" w:hint="default"/>
      </w:rPr>
    </w:lvl>
    <w:lvl w:ilvl="2" w:tplc="D3FC128E" w:tentative="1">
      <w:start w:val="1"/>
      <w:numFmt w:val="bullet"/>
      <w:lvlText w:val="•"/>
      <w:lvlJc w:val="left"/>
      <w:pPr>
        <w:tabs>
          <w:tab w:val="num" w:pos="2160"/>
        </w:tabs>
        <w:ind w:left="2160" w:hanging="360"/>
      </w:pPr>
      <w:rPr>
        <w:rFonts w:ascii="Arial" w:hAnsi="Arial" w:hint="default"/>
      </w:rPr>
    </w:lvl>
    <w:lvl w:ilvl="3" w:tplc="2A5ED6D0" w:tentative="1">
      <w:start w:val="1"/>
      <w:numFmt w:val="bullet"/>
      <w:lvlText w:val="•"/>
      <w:lvlJc w:val="left"/>
      <w:pPr>
        <w:tabs>
          <w:tab w:val="num" w:pos="2880"/>
        </w:tabs>
        <w:ind w:left="2880" w:hanging="360"/>
      </w:pPr>
      <w:rPr>
        <w:rFonts w:ascii="Arial" w:hAnsi="Arial" w:hint="default"/>
      </w:rPr>
    </w:lvl>
    <w:lvl w:ilvl="4" w:tplc="95985AF4" w:tentative="1">
      <w:start w:val="1"/>
      <w:numFmt w:val="bullet"/>
      <w:lvlText w:val="•"/>
      <w:lvlJc w:val="left"/>
      <w:pPr>
        <w:tabs>
          <w:tab w:val="num" w:pos="3600"/>
        </w:tabs>
        <w:ind w:left="3600" w:hanging="360"/>
      </w:pPr>
      <w:rPr>
        <w:rFonts w:ascii="Arial" w:hAnsi="Arial" w:hint="default"/>
      </w:rPr>
    </w:lvl>
    <w:lvl w:ilvl="5" w:tplc="E04A1350" w:tentative="1">
      <w:start w:val="1"/>
      <w:numFmt w:val="bullet"/>
      <w:lvlText w:val="•"/>
      <w:lvlJc w:val="left"/>
      <w:pPr>
        <w:tabs>
          <w:tab w:val="num" w:pos="4320"/>
        </w:tabs>
        <w:ind w:left="4320" w:hanging="360"/>
      </w:pPr>
      <w:rPr>
        <w:rFonts w:ascii="Arial" w:hAnsi="Arial" w:hint="default"/>
      </w:rPr>
    </w:lvl>
    <w:lvl w:ilvl="6" w:tplc="2160C518" w:tentative="1">
      <w:start w:val="1"/>
      <w:numFmt w:val="bullet"/>
      <w:lvlText w:val="•"/>
      <w:lvlJc w:val="left"/>
      <w:pPr>
        <w:tabs>
          <w:tab w:val="num" w:pos="5040"/>
        </w:tabs>
        <w:ind w:left="5040" w:hanging="360"/>
      </w:pPr>
      <w:rPr>
        <w:rFonts w:ascii="Arial" w:hAnsi="Arial" w:hint="default"/>
      </w:rPr>
    </w:lvl>
    <w:lvl w:ilvl="7" w:tplc="BC941D10" w:tentative="1">
      <w:start w:val="1"/>
      <w:numFmt w:val="bullet"/>
      <w:lvlText w:val="•"/>
      <w:lvlJc w:val="left"/>
      <w:pPr>
        <w:tabs>
          <w:tab w:val="num" w:pos="5760"/>
        </w:tabs>
        <w:ind w:left="5760" w:hanging="360"/>
      </w:pPr>
      <w:rPr>
        <w:rFonts w:ascii="Arial" w:hAnsi="Arial" w:hint="default"/>
      </w:rPr>
    </w:lvl>
    <w:lvl w:ilvl="8" w:tplc="6B088EE2" w:tentative="1">
      <w:start w:val="1"/>
      <w:numFmt w:val="bullet"/>
      <w:lvlText w:val="•"/>
      <w:lvlJc w:val="left"/>
      <w:pPr>
        <w:tabs>
          <w:tab w:val="num" w:pos="6480"/>
        </w:tabs>
        <w:ind w:left="6480" w:hanging="360"/>
      </w:pPr>
      <w:rPr>
        <w:rFonts w:ascii="Arial" w:hAnsi="Arial" w:hint="default"/>
      </w:rPr>
    </w:lvl>
  </w:abstractNum>
  <w:abstractNum w:abstractNumId="1">
    <w:nsid w:val="019449C2"/>
    <w:multiLevelType w:val="hybridMultilevel"/>
    <w:tmpl w:val="F4120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B6562B"/>
    <w:multiLevelType w:val="hybridMultilevel"/>
    <w:tmpl w:val="AD700EEC"/>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CB2B5D"/>
    <w:multiLevelType w:val="hybridMultilevel"/>
    <w:tmpl w:val="84309094"/>
    <w:lvl w:ilvl="0" w:tplc="05AA981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C471F77"/>
    <w:multiLevelType w:val="hybridMultilevel"/>
    <w:tmpl w:val="8DE2C056"/>
    <w:lvl w:ilvl="0" w:tplc="19AAEEE4">
      <w:start w:val="1"/>
      <w:numFmt w:val="bullet"/>
      <w:lvlText w:val="•"/>
      <w:lvlJc w:val="left"/>
      <w:pPr>
        <w:tabs>
          <w:tab w:val="num" w:pos="720"/>
        </w:tabs>
        <w:ind w:left="720" w:hanging="360"/>
      </w:pPr>
      <w:rPr>
        <w:rFonts w:ascii="Arial" w:hAnsi="Arial" w:hint="default"/>
      </w:rPr>
    </w:lvl>
    <w:lvl w:ilvl="1" w:tplc="2750B09C" w:tentative="1">
      <w:start w:val="1"/>
      <w:numFmt w:val="bullet"/>
      <w:lvlText w:val="•"/>
      <w:lvlJc w:val="left"/>
      <w:pPr>
        <w:tabs>
          <w:tab w:val="num" w:pos="1440"/>
        </w:tabs>
        <w:ind w:left="1440" w:hanging="360"/>
      </w:pPr>
      <w:rPr>
        <w:rFonts w:ascii="Arial" w:hAnsi="Arial" w:hint="default"/>
      </w:rPr>
    </w:lvl>
    <w:lvl w:ilvl="2" w:tplc="E618E622" w:tentative="1">
      <w:start w:val="1"/>
      <w:numFmt w:val="bullet"/>
      <w:lvlText w:val="•"/>
      <w:lvlJc w:val="left"/>
      <w:pPr>
        <w:tabs>
          <w:tab w:val="num" w:pos="2160"/>
        </w:tabs>
        <w:ind w:left="2160" w:hanging="360"/>
      </w:pPr>
      <w:rPr>
        <w:rFonts w:ascii="Arial" w:hAnsi="Arial" w:hint="default"/>
      </w:rPr>
    </w:lvl>
    <w:lvl w:ilvl="3" w:tplc="2B7A2FF8" w:tentative="1">
      <w:start w:val="1"/>
      <w:numFmt w:val="bullet"/>
      <w:lvlText w:val="•"/>
      <w:lvlJc w:val="left"/>
      <w:pPr>
        <w:tabs>
          <w:tab w:val="num" w:pos="2880"/>
        </w:tabs>
        <w:ind w:left="2880" w:hanging="360"/>
      </w:pPr>
      <w:rPr>
        <w:rFonts w:ascii="Arial" w:hAnsi="Arial" w:hint="default"/>
      </w:rPr>
    </w:lvl>
    <w:lvl w:ilvl="4" w:tplc="ACFA8CA8" w:tentative="1">
      <w:start w:val="1"/>
      <w:numFmt w:val="bullet"/>
      <w:lvlText w:val="•"/>
      <w:lvlJc w:val="left"/>
      <w:pPr>
        <w:tabs>
          <w:tab w:val="num" w:pos="3600"/>
        </w:tabs>
        <w:ind w:left="3600" w:hanging="360"/>
      </w:pPr>
      <w:rPr>
        <w:rFonts w:ascii="Arial" w:hAnsi="Arial" w:hint="default"/>
      </w:rPr>
    </w:lvl>
    <w:lvl w:ilvl="5" w:tplc="8E5E30D2" w:tentative="1">
      <w:start w:val="1"/>
      <w:numFmt w:val="bullet"/>
      <w:lvlText w:val="•"/>
      <w:lvlJc w:val="left"/>
      <w:pPr>
        <w:tabs>
          <w:tab w:val="num" w:pos="4320"/>
        </w:tabs>
        <w:ind w:left="4320" w:hanging="360"/>
      </w:pPr>
      <w:rPr>
        <w:rFonts w:ascii="Arial" w:hAnsi="Arial" w:hint="default"/>
      </w:rPr>
    </w:lvl>
    <w:lvl w:ilvl="6" w:tplc="523C532E" w:tentative="1">
      <w:start w:val="1"/>
      <w:numFmt w:val="bullet"/>
      <w:lvlText w:val="•"/>
      <w:lvlJc w:val="left"/>
      <w:pPr>
        <w:tabs>
          <w:tab w:val="num" w:pos="5040"/>
        </w:tabs>
        <w:ind w:left="5040" w:hanging="360"/>
      </w:pPr>
      <w:rPr>
        <w:rFonts w:ascii="Arial" w:hAnsi="Arial" w:hint="default"/>
      </w:rPr>
    </w:lvl>
    <w:lvl w:ilvl="7" w:tplc="70F290A2" w:tentative="1">
      <w:start w:val="1"/>
      <w:numFmt w:val="bullet"/>
      <w:lvlText w:val="•"/>
      <w:lvlJc w:val="left"/>
      <w:pPr>
        <w:tabs>
          <w:tab w:val="num" w:pos="5760"/>
        </w:tabs>
        <w:ind w:left="5760" w:hanging="360"/>
      </w:pPr>
      <w:rPr>
        <w:rFonts w:ascii="Arial" w:hAnsi="Arial" w:hint="default"/>
      </w:rPr>
    </w:lvl>
    <w:lvl w:ilvl="8" w:tplc="067655C2" w:tentative="1">
      <w:start w:val="1"/>
      <w:numFmt w:val="bullet"/>
      <w:lvlText w:val="•"/>
      <w:lvlJc w:val="left"/>
      <w:pPr>
        <w:tabs>
          <w:tab w:val="num" w:pos="6480"/>
        </w:tabs>
        <w:ind w:left="6480" w:hanging="360"/>
      </w:pPr>
      <w:rPr>
        <w:rFonts w:ascii="Arial" w:hAnsi="Arial" w:hint="default"/>
      </w:rPr>
    </w:lvl>
  </w:abstractNum>
  <w:abstractNum w:abstractNumId="5">
    <w:nsid w:val="157142FA"/>
    <w:multiLevelType w:val="hybridMultilevel"/>
    <w:tmpl w:val="0C185EB2"/>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456E26"/>
    <w:multiLevelType w:val="multilevel"/>
    <w:tmpl w:val="CAE687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87604B"/>
    <w:multiLevelType w:val="hybridMultilevel"/>
    <w:tmpl w:val="612C290C"/>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0515CF"/>
    <w:multiLevelType w:val="hybridMultilevel"/>
    <w:tmpl w:val="90E08ABE"/>
    <w:lvl w:ilvl="0" w:tplc="0F883A62">
      <w:start w:val="1"/>
      <w:numFmt w:val="bullet"/>
      <w:lvlText w:val="•"/>
      <w:lvlJc w:val="left"/>
      <w:pPr>
        <w:tabs>
          <w:tab w:val="num" w:pos="720"/>
        </w:tabs>
        <w:ind w:left="720" w:hanging="360"/>
      </w:pPr>
      <w:rPr>
        <w:rFonts w:ascii="Arial" w:hAnsi="Arial" w:hint="default"/>
      </w:rPr>
    </w:lvl>
    <w:lvl w:ilvl="1" w:tplc="2A5A4732" w:tentative="1">
      <w:start w:val="1"/>
      <w:numFmt w:val="bullet"/>
      <w:lvlText w:val="•"/>
      <w:lvlJc w:val="left"/>
      <w:pPr>
        <w:tabs>
          <w:tab w:val="num" w:pos="1440"/>
        </w:tabs>
        <w:ind w:left="1440" w:hanging="360"/>
      </w:pPr>
      <w:rPr>
        <w:rFonts w:ascii="Arial" w:hAnsi="Arial" w:hint="default"/>
      </w:rPr>
    </w:lvl>
    <w:lvl w:ilvl="2" w:tplc="DFA8E28C" w:tentative="1">
      <w:start w:val="1"/>
      <w:numFmt w:val="bullet"/>
      <w:lvlText w:val="•"/>
      <w:lvlJc w:val="left"/>
      <w:pPr>
        <w:tabs>
          <w:tab w:val="num" w:pos="2160"/>
        </w:tabs>
        <w:ind w:left="2160" w:hanging="360"/>
      </w:pPr>
      <w:rPr>
        <w:rFonts w:ascii="Arial" w:hAnsi="Arial" w:hint="default"/>
      </w:rPr>
    </w:lvl>
    <w:lvl w:ilvl="3" w:tplc="B33444CE" w:tentative="1">
      <w:start w:val="1"/>
      <w:numFmt w:val="bullet"/>
      <w:lvlText w:val="•"/>
      <w:lvlJc w:val="left"/>
      <w:pPr>
        <w:tabs>
          <w:tab w:val="num" w:pos="2880"/>
        </w:tabs>
        <w:ind w:left="2880" w:hanging="360"/>
      </w:pPr>
      <w:rPr>
        <w:rFonts w:ascii="Arial" w:hAnsi="Arial" w:hint="default"/>
      </w:rPr>
    </w:lvl>
    <w:lvl w:ilvl="4" w:tplc="0584D6EA" w:tentative="1">
      <w:start w:val="1"/>
      <w:numFmt w:val="bullet"/>
      <w:lvlText w:val="•"/>
      <w:lvlJc w:val="left"/>
      <w:pPr>
        <w:tabs>
          <w:tab w:val="num" w:pos="3600"/>
        </w:tabs>
        <w:ind w:left="3600" w:hanging="360"/>
      </w:pPr>
      <w:rPr>
        <w:rFonts w:ascii="Arial" w:hAnsi="Arial" w:hint="default"/>
      </w:rPr>
    </w:lvl>
    <w:lvl w:ilvl="5" w:tplc="8702E166" w:tentative="1">
      <w:start w:val="1"/>
      <w:numFmt w:val="bullet"/>
      <w:lvlText w:val="•"/>
      <w:lvlJc w:val="left"/>
      <w:pPr>
        <w:tabs>
          <w:tab w:val="num" w:pos="4320"/>
        </w:tabs>
        <w:ind w:left="4320" w:hanging="360"/>
      </w:pPr>
      <w:rPr>
        <w:rFonts w:ascii="Arial" w:hAnsi="Arial" w:hint="default"/>
      </w:rPr>
    </w:lvl>
    <w:lvl w:ilvl="6" w:tplc="8E8AB6A8" w:tentative="1">
      <w:start w:val="1"/>
      <w:numFmt w:val="bullet"/>
      <w:lvlText w:val="•"/>
      <w:lvlJc w:val="left"/>
      <w:pPr>
        <w:tabs>
          <w:tab w:val="num" w:pos="5040"/>
        </w:tabs>
        <w:ind w:left="5040" w:hanging="360"/>
      </w:pPr>
      <w:rPr>
        <w:rFonts w:ascii="Arial" w:hAnsi="Arial" w:hint="default"/>
      </w:rPr>
    </w:lvl>
    <w:lvl w:ilvl="7" w:tplc="E1AE5A2C" w:tentative="1">
      <w:start w:val="1"/>
      <w:numFmt w:val="bullet"/>
      <w:lvlText w:val="•"/>
      <w:lvlJc w:val="left"/>
      <w:pPr>
        <w:tabs>
          <w:tab w:val="num" w:pos="5760"/>
        </w:tabs>
        <w:ind w:left="5760" w:hanging="360"/>
      </w:pPr>
      <w:rPr>
        <w:rFonts w:ascii="Arial" w:hAnsi="Arial" w:hint="default"/>
      </w:rPr>
    </w:lvl>
    <w:lvl w:ilvl="8" w:tplc="CCE4E0C6" w:tentative="1">
      <w:start w:val="1"/>
      <w:numFmt w:val="bullet"/>
      <w:lvlText w:val="•"/>
      <w:lvlJc w:val="left"/>
      <w:pPr>
        <w:tabs>
          <w:tab w:val="num" w:pos="6480"/>
        </w:tabs>
        <w:ind w:left="6480" w:hanging="360"/>
      </w:pPr>
      <w:rPr>
        <w:rFonts w:ascii="Arial" w:hAnsi="Arial" w:hint="default"/>
      </w:rPr>
    </w:lvl>
  </w:abstractNum>
  <w:abstractNum w:abstractNumId="9">
    <w:nsid w:val="27192772"/>
    <w:multiLevelType w:val="hybridMultilevel"/>
    <w:tmpl w:val="32A08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D4CB5"/>
    <w:multiLevelType w:val="hybridMultilevel"/>
    <w:tmpl w:val="8F60E5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682460"/>
    <w:multiLevelType w:val="hybridMultilevel"/>
    <w:tmpl w:val="9AE838F0"/>
    <w:lvl w:ilvl="0" w:tplc="ED8CCE52">
      <w:start w:val="1"/>
      <w:numFmt w:val="upp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B21EEB"/>
    <w:multiLevelType w:val="hybridMultilevel"/>
    <w:tmpl w:val="AF9453E0"/>
    <w:lvl w:ilvl="0" w:tplc="F74CD43C">
      <w:start w:val="1"/>
      <w:numFmt w:val="lowerRoman"/>
      <w:lvlText w:val="%1)"/>
      <w:lvlJc w:val="left"/>
      <w:pPr>
        <w:ind w:left="1428" w:hanging="720"/>
      </w:pPr>
      <w:rPr>
        <w:rFonts w:cs="Times New Roman" w:hint="default"/>
        <w:b w:val="0"/>
      </w:rPr>
    </w:lvl>
    <w:lvl w:ilvl="1" w:tplc="26947EB2">
      <w:start w:val="1"/>
      <w:numFmt w:val="lowerLetter"/>
      <w:lvlText w:val="%2."/>
      <w:lvlJc w:val="left"/>
      <w:pPr>
        <w:ind w:left="1788" w:hanging="360"/>
      </w:pPr>
      <w:rPr>
        <w:rFonts w:cs="Times New Roman"/>
        <w:b w:val="0"/>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3">
    <w:nsid w:val="36581852"/>
    <w:multiLevelType w:val="hybridMultilevel"/>
    <w:tmpl w:val="DE3A0E6C"/>
    <w:lvl w:ilvl="0" w:tplc="FC2823C0">
      <w:start w:val="1"/>
      <w:numFmt w:val="lowerRoman"/>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37C41532"/>
    <w:multiLevelType w:val="hybridMultilevel"/>
    <w:tmpl w:val="BD3E6D9A"/>
    <w:lvl w:ilvl="0" w:tplc="3D426D24">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18345D"/>
    <w:multiLevelType w:val="hybridMultilevel"/>
    <w:tmpl w:val="0C185EB2"/>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330683"/>
    <w:multiLevelType w:val="hybridMultilevel"/>
    <w:tmpl w:val="AD700EEC"/>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A477215"/>
    <w:multiLevelType w:val="hybridMultilevel"/>
    <w:tmpl w:val="1F1273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A049B2"/>
    <w:multiLevelType w:val="hybridMultilevel"/>
    <w:tmpl w:val="1F1273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D472F2"/>
    <w:multiLevelType w:val="hybridMultilevel"/>
    <w:tmpl w:val="2DE651C0"/>
    <w:lvl w:ilvl="0" w:tplc="B78C2EA0">
      <w:start w:val="1"/>
      <w:numFmt w:val="lowerLetter"/>
      <w:lvlText w:val="%1)"/>
      <w:lvlJc w:val="left"/>
      <w:pPr>
        <w:ind w:left="1068" w:hanging="360"/>
      </w:pPr>
      <w:rPr>
        <w:rFonts w:hint="default"/>
        <w:b/>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46491B92"/>
    <w:multiLevelType w:val="hybridMultilevel"/>
    <w:tmpl w:val="E67A9BBE"/>
    <w:lvl w:ilvl="0" w:tplc="40043F3C">
      <w:start w:val="1"/>
      <w:numFmt w:val="bullet"/>
      <w:lvlText w:val="•"/>
      <w:lvlJc w:val="left"/>
      <w:pPr>
        <w:tabs>
          <w:tab w:val="num" w:pos="720"/>
        </w:tabs>
        <w:ind w:left="720" w:hanging="360"/>
      </w:pPr>
      <w:rPr>
        <w:rFonts w:ascii="Arial" w:hAnsi="Arial" w:hint="default"/>
      </w:rPr>
    </w:lvl>
    <w:lvl w:ilvl="1" w:tplc="3CEEDD1C" w:tentative="1">
      <w:start w:val="1"/>
      <w:numFmt w:val="bullet"/>
      <w:lvlText w:val="•"/>
      <w:lvlJc w:val="left"/>
      <w:pPr>
        <w:tabs>
          <w:tab w:val="num" w:pos="1440"/>
        </w:tabs>
        <w:ind w:left="1440" w:hanging="360"/>
      </w:pPr>
      <w:rPr>
        <w:rFonts w:ascii="Arial" w:hAnsi="Arial" w:hint="default"/>
      </w:rPr>
    </w:lvl>
    <w:lvl w:ilvl="2" w:tplc="079EA502" w:tentative="1">
      <w:start w:val="1"/>
      <w:numFmt w:val="bullet"/>
      <w:lvlText w:val="•"/>
      <w:lvlJc w:val="left"/>
      <w:pPr>
        <w:tabs>
          <w:tab w:val="num" w:pos="2160"/>
        </w:tabs>
        <w:ind w:left="2160" w:hanging="360"/>
      </w:pPr>
      <w:rPr>
        <w:rFonts w:ascii="Arial" w:hAnsi="Arial" w:hint="default"/>
      </w:rPr>
    </w:lvl>
    <w:lvl w:ilvl="3" w:tplc="CEDC676C" w:tentative="1">
      <w:start w:val="1"/>
      <w:numFmt w:val="bullet"/>
      <w:lvlText w:val="•"/>
      <w:lvlJc w:val="left"/>
      <w:pPr>
        <w:tabs>
          <w:tab w:val="num" w:pos="2880"/>
        </w:tabs>
        <w:ind w:left="2880" w:hanging="360"/>
      </w:pPr>
      <w:rPr>
        <w:rFonts w:ascii="Arial" w:hAnsi="Arial" w:hint="default"/>
      </w:rPr>
    </w:lvl>
    <w:lvl w:ilvl="4" w:tplc="0660DEA8" w:tentative="1">
      <w:start w:val="1"/>
      <w:numFmt w:val="bullet"/>
      <w:lvlText w:val="•"/>
      <w:lvlJc w:val="left"/>
      <w:pPr>
        <w:tabs>
          <w:tab w:val="num" w:pos="3600"/>
        </w:tabs>
        <w:ind w:left="3600" w:hanging="360"/>
      </w:pPr>
      <w:rPr>
        <w:rFonts w:ascii="Arial" w:hAnsi="Arial" w:hint="default"/>
      </w:rPr>
    </w:lvl>
    <w:lvl w:ilvl="5" w:tplc="8F0AD76E" w:tentative="1">
      <w:start w:val="1"/>
      <w:numFmt w:val="bullet"/>
      <w:lvlText w:val="•"/>
      <w:lvlJc w:val="left"/>
      <w:pPr>
        <w:tabs>
          <w:tab w:val="num" w:pos="4320"/>
        </w:tabs>
        <w:ind w:left="4320" w:hanging="360"/>
      </w:pPr>
      <w:rPr>
        <w:rFonts w:ascii="Arial" w:hAnsi="Arial" w:hint="default"/>
      </w:rPr>
    </w:lvl>
    <w:lvl w:ilvl="6" w:tplc="2A7C58E2" w:tentative="1">
      <w:start w:val="1"/>
      <w:numFmt w:val="bullet"/>
      <w:lvlText w:val="•"/>
      <w:lvlJc w:val="left"/>
      <w:pPr>
        <w:tabs>
          <w:tab w:val="num" w:pos="5040"/>
        </w:tabs>
        <w:ind w:left="5040" w:hanging="360"/>
      </w:pPr>
      <w:rPr>
        <w:rFonts w:ascii="Arial" w:hAnsi="Arial" w:hint="default"/>
      </w:rPr>
    </w:lvl>
    <w:lvl w:ilvl="7" w:tplc="4C0A951A" w:tentative="1">
      <w:start w:val="1"/>
      <w:numFmt w:val="bullet"/>
      <w:lvlText w:val="•"/>
      <w:lvlJc w:val="left"/>
      <w:pPr>
        <w:tabs>
          <w:tab w:val="num" w:pos="5760"/>
        </w:tabs>
        <w:ind w:left="5760" w:hanging="360"/>
      </w:pPr>
      <w:rPr>
        <w:rFonts w:ascii="Arial" w:hAnsi="Arial" w:hint="default"/>
      </w:rPr>
    </w:lvl>
    <w:lvl w:ilvl="8" w:tplc="920E8D7A" w:tentative="1">
      <w:start w:val="1"/>
      <w:numFmt w:val="bullet"/>
      <w:lvlText w:val="•"/>
      <w:lvlJc w:val="left"/>
      <w:pPr>
        <w:tabs>
          <w:tab w:val="num" w:pos="6480"/>
        </w:tabs>
        <w:ind w:left="6480" w:hanging="360"/>
      </w:pPr>
      <w:rPr>
        <w:rFonts w:ascii="Arial" w:hAnsi="Arial" w:hint="default"/>
      </w:rPr>
    </w:lvl>
  </w:abstractNum>
  <w:abstractNum w:abstractNumId="21">
    <w:nsid w:val="47967614"/>
    <w:multiLevelType w:val="hybridMultilevel"/>
    <w:tmpl w:val="79A2C7C6"/>
    <w:lvl w:ilvl="0" w:tplc="8D3A6478">
      <w:start w:val="1"/>
      <w:numFmt w:val="bullet"/>
      <w:lvlText w:val="•"/>
      <w:lvlJc w:val="left"/>
      <w:pPr>
        <w:tabs>
          <w:tab w:val="num" w:pos="720"/>
        </w:tabs>
        <w:ind w:left="720" w:hanging="360"/>
      </w:pPr>
      <w:rPr>
        <w:rFonts w:ascii="Arial" w:hAnsi="Arial" w:hint="default"/>
      </w:rPr>
    </w:lvl>
    <w:lvl w:ilvl="1" w:tplc="D4068F7E" w:tentative="1">
      <w:start w:val="1"/>
      <w:numFmt w:val="bullet"/>
      <w:lvlText w:val="•"/>
      <w:lvlJc w:val="left"/>
      <w:pPr>
        <w:tabs>
          <w:tab w:val="num" w:pos="1440"/>
        </w:tabs>
        <w:ind w:left="1440" w:hanging="360"/>
      </w:pPr>
      <w:rPr>
        <w:rFonts w:ascii="Arial" w:hAnsi="Arial" w:hint="default"/>
      </w:rPr>
    </w:lvl>
    <w:lvl w:ilvl="2" w:tplc="63A2C640" w:tentative="1">
      <w:start w:val="1"/>
      <w:numFmt w:val="bullet"/>
      <w:lvlText w:val="•"/>
      <w:lvlJc w:val="left"/>
      <w:pPr>
        <w:tabs>
          <w:tab w:val="num" w:pos="2160"/>
        </w:tabs>
        <w:ind w:left="2160" w:hanging="360"/>
      </w:pPr>
      <w:rPr>
        <w:rFonts w:ascii="Arial" w:hAnsi="Arial" w:hint="default"/>
      </w:rPr>
    </w:lvl>
    <w:lvl w:ilvl="3" w:tplc="2334D60E" w:tentative="1">
      <w:start w:val="1"/>
      <w:numFmt w:val="bullet"/>
      <w:lvlText w:val="•"/>
      <w:lvlJc w:val="left"/>
      <w:pPr>
        <w:tabs>
          <w:tab w:val="num" w:pos="2880"/>
        </w:tabs>
        <w:ind w:left="2880" w:hanging="360"/>
      </w:pPr>
      <w:rPr>
        <w:rFonts w:ascii="Arial" w:hAnsi="Arial" w:hint="default"/>
      </w:rPr>
    </w:lvl>
    <w:lvl w:ilvl="4" w:tplc="8C3659B2" w:tentative="1">
      <w:start w:val="1"/>
      <w:numFmt w:val="bullet"/>
      <w:lvlText w:val="•"/>
      <w:lvlJc w:val="left"/>
      <w:pPr>
        <w:tabs>
          <w:tab w:val="num" w:pos="3600"/>
        </w:tabs>
        <w:ind w:left="3600" w:hanging="360"/>
      </w:pPr>
      <w:rPr>
        <w:rFonts w:ascii="Arial" w:hAnsi="Arial" w:hint="default"/>
      </w:rPr>
    </w:lvl>
    <w:lvl w:ilvl="5" w:tplc="6D90B524" w:tentative="1">
      <w:start w:val="1"/>
      <w:numFmt w:val="bullet"/>
      <w:lvlText w:val="•"/>
      <w:lvlJc w:val="left"/>
      <w:pPr>
        <w:tabs>
          <w:tab w:val="num" w:pos="4320"/>
        </w:tabs>
        <w:ind w:left="4320" w:hanging="360"/>
      </w:pPr>
      <w:rPr>
        <w:rFonts w:ascii="Arial" w:hAnsi="Arial" w:hint="default"/>
      </w:rPr>
    </w:lvl>
    <w:lvl w:ilvl="6" w:tplc="B7E45B7C" w:tentative="1">
      <w:start w:val="1"/>
      <w:numFmt w:val="bullet"/>
      <w:lvlText w:val="•"/>
      <w:lvlJc w:val="left"/>
      <w:pPr>
        <w:tabs>
          <w:tab w:val="num" w:pos="5040"/>
        </w:tabs>
        <w:ind w:left="5040" w:hanging="360"/>
      </w:pPr>
      <w:rPr>
        <w:rFonts w:ascii="Arial" w:hAnsi="Arial" w:hint="default"/>
      </w:rPr>
    </w:lvl>
    <w:lvl w:ilvl="7" w:tplc="0CBCF034" w:tentative="1">
      <w:start w:val="1"/>
      <w:numFmt w:val="bullet"/>
      <w:lvlText w:val="•"/>
      <w:lvlJc w:val="left"/>
      <w:pPr>
        <w:tabs>
          <w:tab w:val="num" w:pos="5760"/>
        </w:tabs>
        <w:ind w:left="5760" w:hanging="360"/>
      </w:pPr>
      <w:rPr>
        <w:rFonts w:ascii="Arial" w:hAnsi="Arial" w:hint="default"/>
      </w:rPr>
    </w:lvl>
    <w:lvl w:ilvl="8" w:tplc="BAE6B5D2" w:tentative="1">
      <w:start w:val="1"/>
      <w:numFmt w:val="bullet"/>
      <w:lvlText w:val="•"/>
      <w:lvlJc w:val="left"/>
      <w:pPr>
        <w:tabs>
          <w:tab w:val="num" w:pos="6480"/>
        </w:tabs>
        <w:ind w:left="6480" w:hanging="360"/>
      </w:pPr>
      <w:rPr>
        <w:rFonts w:ascii="Arial" w:hAnsi="Arial" w:hint="default"/>
      </w:rPr>
    </w:lvl>
  </w:abstractNum>
  <w:abstractNum w:abstractNumId="22">
    <w:nsid w:val="4B0B1C90"/>
    <w:multiLevelType w:val="multilevel"/>
    <w:tmpl w:val="B7BAF7CE"/>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sz w:val="24"/>
        <w:szCs w:val="24"/>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23">
    <w:nsid w:val="50807899"/>
    <w:multiLevelType w:val="hybridMultilevel"/>
    <w:tmpl w:val="612C290C"/>
    <w:lvl w:ilvl="0" w:tplc="8A4630B8">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22B35"/>
    <w:multiLevelType w:val="hybridMultilevel"/>
    <w:tmpl w:val="B10A3EFE"/>
    <w:lvl w:ilvl="0" w:tplc="21A410EE">
      <w:start w:val="1"/>
      <w:numFmt w:val="bullet"/>
      <w:lvlText w:val="•"/>
      <w:lvlJc w:val="left"/>
      <w:pPr>
        <w:tabs>
          <w:tab w:val="num" w:pos="720"/>
        </w:tabs>
        <w:ind w:left="720" w:hanging="360"/>
      </w:pPr>
      <w:rPr>
        <w:rFonts w:ascii="Arial" w:hAnsi="Arial" w:hint="default"/>
      </w:rPr>
    </w:lvl>
    <w:lvl w:ilvl="1" w:tplc="D18468A2" w:tentative="1">
      <w:start w:val="1"/>
      <w:numFmt w:val="bullet"/>
      <w:lvlText w:val="•"/>
      <w:lvlJc w:val="left"/>
      <w:pPr>
        <w:tabs>
          <w:tab w:val="num" w:pos="1440"/>
        </w:tabs>
        <w:ind w:left="1440" w:hanging="360"/>
      </w:pPr>
      <w:rPr>
        <w:rFonts w:ascii="Arial" w:hAnsi="Arial" w:hint="default"/>
      </w:rPr>
    </w:lvl>
    <w:lvl w:ilvl="2" w:tplc="A7E214A2" w:tentative="1">
      <w:start w:val="1"/>
      <w:numFmt w:val="bullet"/>
      <w:lvlText w:val="•"/>
      <w:lvlJc w:val="left"/>
      <w:pPr>
        <w:tabs>
          <w:tab w:val="num" w:pos="2160"/>
        </w:tabs>
        <w:ind w:left="2160" w:hanging="360"/>
      </w:pPr>
      <w:rPr>
        <w:rFonts w:ascii="Arial" w:hAnsi="Arial" w:hint="default"/>
      </w:rPr>
    </w:lvl>
    <w:lvl w:ilvl="3" w:tplc="06F2C70C" w:tentative="1">
      <w:start w:val="1"/>
      <w:numFmt w:val="bullet"/>
      <w:lvlText w:val="•"/>
      <w:lvlJc w:val="left"/>
      <w:pPr>
        <w:tabs>
          <w:tab w:val="num" w:pos="2880"/>
        </w:tabs>
        <w:ind w:left="2880" w:hanging="360"/>
      </w:pPr>
      <w:rPr>
        <w:rFonts w:ascii="Arial" w:hAnsi="Arial" w:hint="default"/>
      </w:rPr>
    </w:lvl>
    <w:lvl w:ilvl="4" w:tplc="9814C608" w:tentative="1">
      <w:start w:val="1"/>
      <w:numFmt w:val="bullet"/>
      <w:lvlText w:val="•"/>
      <w:lvlJc w:val="left"/>
      <w:pPr>
        <w:tabs>
          <w:tab w:val="num" w:pos="3600"/>
        </w:tabs>
        <w:ind w:left="3600" w:hanging="360"/>
      </w:pPr>
      <w:rPr>
        <w:rFonts w:ascii="Arial" w:hAnsi="Arial" w:hint="default"/>
      </w:rPr>
    </w:lvl>
    <w:lvl w:ilvl="5" w:tplc="D496085E" w:tentative="1">
      <w:start w:val="1"/>
      <w:numFmt w:val="bullet"/>
      <w:lvlText w:val="•"/>
      <w:lvlJc w:val="left"/>
      <w:pPr>
        <w:tabs>
          <w:tab w:val="num" w:pos="4320"/>
        </w:tabs>
        <w:ind w:left="4320" w:hanging="360"/>
      </w:pPr>
      <w:rPr>
        <w:rFonts w:ascii="Arial" w:hAnsi="Arial" w:hint="default"/>
      </w:rPr>
    </w:lvl>
    <w:lvl w:ilvl="6" w:tplc="73E45E46" w:tentative="1">
      <w:start w:val="1"/>
      <w:numFmt w:val="bullet"/>
      <w:lvlText w:val="•"/>
      <w:lvlJc w:val="left"/>
      <w:pPr>
        <w:tabs>
          <w:tab w:val="num" w:pos="5040"/>
        </w:tabs>
        <w:ind w:left="5040" w:hanging="360"/>
      </w:pPr>
      <w:rPr>
        <w:rFonts w:ascii="Arial" w:hAnsi="Arial" w:hint="default"/>
      </w:rPr>
    </w:lvl>
    <w:lvl w:ilvl="7" w:tplc="2110EDB2" w:tentative="1">
      <w:start w:val="1"/>
      <w:numFmt w:val="bullet"/>
      <w:lvlText w:val="•"/>
      <w:lvlJc w:val="left"/>
      <w:pPr>
        <w:tabs>
          <w:tab w:val="num" w:pos="5760"/>
        </w:tabs>
        <w:ind w:left="5760" w:hanging="360"/>
      </w:pPr>
      <w:rPr>
        <w:rFonts w:ascii="Arial" w:hAnsi="Arial" w:hint="default"/>
      </w:rPr>
    </w:lvl>
    <w:lvl w:ilvl="8" w:tplc="817026F0" w:tentative="1">
      <w:start w:val="1"/>
      <w:numFmt w:val="bullet"/>
      <w:lvlText w:val="•"/>
      <w:lvlJc w:val="left"/>
      <w:pPr>
        <w:tabs>
          <w:tab w:val="num" w:pos="6480"/>
        </w:tabs>
        <w:ind w:left="6480" w:hanging="360"/>
      </w:pPr>
      <w:rPr>
        <w:rFonts w:ascii="Arial" w:hAnsi="Arial" w:hint="default"/>
      </w:rPr>
    </w:lvl>
  </w:abstractNum>
  <w:abstractNum w:abstractNumId="25">
    <w:nsid w:val="540C0C0B"/>
    <w:multiLevelType w:val="hybridMultilevel"/>
    <w:tmpl w:val="884EB0B6"/>
    <w:lvl w:ilvl="0" w:tplc="F490CF7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58462F9E"/>
    <w:multiLevelType w:val="hybridMultilevel"/>
    <w:tmpl w:val="1D602D66"/>
    <w:lvl w:ilvl="0" w:tplc="196459DA">
      <w:start w:val="1"/>
      <w:numFmt w:val="bullet"/>
      <w:lvlText w:val="•"/>
      <w:lvlJc w:val="left"/>
      <w:pPr>
        <w:tabs>
          <w:tab w:val="num" w:pos="720"/>
        </w:tabs>
        <w:ind w:left="720" w:hanging="360"/>
      </w:pPr>
      <w:rPr>
        <w:rFonts w:ascii="Arial" w:hAnsi="Arial" w:hint="default"/>
      </w:rPr>
    </w:lvl>
    <w:lvl w:ilvl="1" w:tplc="9726FF48" w:tentative="1">
      <w:start w:val="1"/>
      <w:numFmt w:val="bullet"/>
      <w:lvlText w:val="•"/>
      <w:lvlJc w:val="left"/>
      <w:pPr>
        <w:tabs>
          <w:tab w:val="num" w:pos="1440"/>
        </w:tabs>
        <w:ind w:left="1440" w:hanging="360"/>
      </w:pPr>
      <w:rPr>
        <w:rFonts w:ascii="Arial" w:hAnsi="Arial" w:hint="default"/>
      </w:rPr>
    </w:lvl>
    <w:lvl w:ilvl="2" w:tplc="3A0E9918" w:tentative="1">
      <w:start w:val="1"/>
      <w:numFmt w:val="bullet"/>
      <w:lvlText w:val="•"/>
      <w:lvlJc w:val="left"/>
      <w:pPr>
        <w:tabs>
          <w:tab w:val="num" w:pos="2160"/>
        </w:tabs>
        <w:ind w:left="2160" w:hanging="360"/>
      </w:pPr>
      <w:rPr>
        <w:rFonts w:ascii="Arial" w:hAnsi="Arial" w:hint="default"/>
      </w:rPr>
    </w:lvl>
    <w:lvl w:ilvl="3" w:tplc="A2A8AE6C" w:tentative="1">
      <w:start w:val="1"/>
      <w:numFmt w:val="bullet"/>
      <w:lvlText w:val="•"/>
      <w:lvlJc w:val="left"/>
      <w:pPr>
        <w:tabs>
          <w:tab w:val="num" w:pos="2880"/>
        </w:tabs>
        <w:ind w:left="2880" w:hanging="360"/>
      </w:pPr>
      <w:rPr>
        <w:rFonts w:ascii="Arial" w:hAnsi="Arial" w:hint="default"/>
      </w:rPr>
    </w:lvl>
    <w:lvl w:ilvl="4" w:tplc="E8BC1AAE" w:tentative="1">
      <w:start w:val="1"/>
      <w:numFmt w:val="bullet"/>
      <w:lvlText w:val="•"/>
      <w:lvlJc w:val="left"/>
      <w:pPr>
        <w:tabs>
          <w:tab w:val="num" w:pos="3600"/>
        </w:tabs>
        <w:ind w:left="3600" w:hanging="360"/>
      </w:pPr>
      <w:rPr>
        <w:rFonts w:ascii="Arial" w:hAnsi="Arial" w:hint="default"/>
      </w:rPr>
    </w:lvl>
    <w:lvl w:ilvl="5" w:tplc="E3B08F76" w:tentative="1">
      <w:start w:val="1"/>
      <w:numFmt w:val="bullet"/>
      <w:lvlText w:val="•"/>
      <w:lvlJc w:val="left"/>
      <w:pPr>
        <w:tabs>
          <w:tab w:val="num" w:pos="4320"/>
        </w:tabs>
        <w:ind w:left="4320" w:hanging="360"/>
      </w:pPr>
      <w:rPr>
        <w:rFonts w:ascii="Arial" w:hAnsi="Arial" w:hint="default"/>
      </w:rPr>
    </w:lvl>
    <w:lvl w:ilvl="6" w:tplc="36B8A778" w:tentative="1">
      <w:start w:val="1"/>
      <w:numFmt w:val="bullet"/>
      <w:lvlText w:val="•"/>
      <w:lvlJc w:val="left"/>
      <w:pPr>
        <w:tabs>
          <w:tab w:val="num" w:pos="5040"/>
        </w:tabs>
        <w:ind w:left="5040" w:hanging="360"/>
      </w:pPr>
      <w:rPr>
        <w:rFonts w:ascii="Arial" w:hAnsi="Arial" w:hint="default"/>
      </w:rPr>
    </w:lvl>
    <w:lvl w:ilvl="7" w:tplc="3FAAE0CE" w:tentative="1">
      <w:start w:val="1"/>
      <w:numFmt w:val="bullet"/>
      <w:lvlText w:val="•"/>
      <w:lvlJc w:val="left"/>
      <w:pPr>
        <w:tabs>
          <w:tab w:val="num" w:pos="5760"/>
        </w:tabs>
        <w:ind w:left="5760" w:hanging="360"/>
      </w:pPr>
      <w:rPr>
        <w:rFonts w:ascii="Arial" w:hAnsi="Arial" w:hint="default"/>
      </w:rPr>
    </w:lvl>
    <w:lvl w:ilvl="8" w:tplc="F766C410" w:tentative="1">
      <w:start w:val="1"/>
      <w:numFmt w:val="bullet"/>
      <w:lvlText w:val="•"/>
      <w:lvlJc w:val="left"/>
      <w:pPr>
        <w:tabs>
          <w:tab w:val="num" w:pos="6480"/>
        </w:tabs>
        <w:ind w:left="6480" w:hanging="360"/>
      </w:pPr>
      <w:rPr>
        <w:rFonts w:ascii="Arial" w:hAnsi="Arial" w:hint="default"/>
      </w:rPr>
    </w:lvl>
  </w:abstractNum>
  <w:abstractNum w:abstractNumId="27">
    <w:nsid w:val="5ED73290"/>
    <w:multiLevelType w:val="hybridMultilevel"/>
    <w:tmpl w:val="2DE651C0"/>
    <w:lvl w:ilvl="0" w:tplc="B78C2EA0">
      <w:start w:val="1"/>
      <w:numFmt w:val="lowerLetter"/>
      <w:lvlText w:val="%1)"/>
      <w:lvlJc w:val="left"/>
      <w:pPr>
        <w:ind w:left="1068" w:hanging="360"/>
      </w:pPr>
      <w:rPr>
        <w:rFonts w:hint="default"/>
        <w:b/>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06F4E8F"/>
    <w:multiLevelType w:val="hybridMultilevel"/>
    <w:tmpl w:val="2D10105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9">
    <w:nsid w:val="6184575E"/>
    <w:multiLevelType w:val="multilevel"/>
    <w:tmpl w:val="EC2C02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055D1E"/>
    <w:multiLevelType w:val="hybridMultilevel"/>
    <w:tmpl w:val="62943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8A4353B"/>
    <w:multiLevelType w:val="hybridMultilevel"/>
    <w:tmpl w:val="0408ECF2"/>
    <w:lvl w:ilvl="0" w:tplc="3D426D24">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69E9557D"/>
    <w:multiLevelType w:val="hybridMultilevel"/>
    <w:tmpl w:val="58949F00"/>
    <w:lvl w:ilvl="0" w:tplc="04160015">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6C8619CF"/>
    <w:multiLevelType w:val="hybridMultilevel"/>
    <w:tmpl w:val="3202FC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A82B31"/>
    <w:multiLevelType w:val="hybridMultilevel"/>
    <w:tmpl w:val="62943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2F550A"/>
    <w:multiLevelType w:val="hybridMultilevel"/>
    <w:tmpl w:val="62943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343E5E"/>
    <w:multiLevelType w:val="multilevel"/>
    <w:tmpl w:val="C9A2F2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6164A6"/>
    <w:multiLevelType w:val="hybridMultilevel"/>
    <w:tmpl w:val="150247C2"/>
    <w:lvl w:ilvl="0" w:tplc="4FAE4B96">
      <w:start w:val="1"/>
      <w:numFmt w:val="bullet"/>
      <w:lvlText w:val="•"/>
      <w:lvlJc w:val="left"/>
      <w:pPr>
        <w:tabs>
          <w:tab w:val="num" w:pos="720"/>
        </w:tabs>
        <w:ind w:left="720" w:hanging="360"/>
      </w:pPr>
      <w:rPr>
        <w:rFonts w:ascii="Arial" w:hAnsi="Arial" w:hint="default"/>
      </w:rPr>
    </w:lvl>
    <w:lvl w:ilvl="1" w:tplc="15C4592E" w:tentative="1">
      <w:start w:val="1"/>
      <w:numFmt w:val="bullet"/>
      <w:lvlText w:val="•"/>
      <w:lvlJc w:val="left"/>
      <w:pPr>
        <w:tabs>
          <w:tab w:val="num" w:pos="1440"/>
        </w:tabs>
        <w:ind w:left="1440" w:hanging="360"/>
      </w:pPr>
      <w:rPr>
        <w:rFonts w:ascii="Arial" w:hAnsi="Arial" w:hint="default"/>
      </w:rPr>
    </w:lvl>
    <w:lvl w:ilvl="2" w:tplc="C55CDAF4" w:tentative="1">
      <w:start w:val="1"/>
      <w:numFmt w:val="bullet"/>
      <w:lvlText w:val="•"/>
      <w:lvlJc w:val="left"/>
      <w:pPr>
        <w:tabs>
          <w:tab w:val="num" w:pos="2160"/>
        </w:tabs>
        <w:ind w:left="2160" w:hanging="360"/>
      </w:pPr>
      <w:rPr>
        <w:rFonts w:ascii="Arial" w:hAnsi="Arial" w:hint="default"/>
      </w:rPr>
    </w:lvl>
    <w:lvl w:ilvl="3" w:tplc="6EDC85B4" w:tentative="1">
      <w:start w:val="1"/>
      <w:numFmt w:val="bullet"/>
      <w:lvlText w:val="•"/>
      <w:lvlJc w:val="left"/>
      <w:pPr>
        <w:tabs>
          <w:tab w:val="num" w:pos="2880"/>
        </w:tabs>
        <w:ind w:left="2880" w:hanging="360"/>
      </w:pPr>
      <w:rPr>
        <w:rFonts w:ascii="Arial" w:hAnsi="Arial" w:hint="default"/>
      </w:rPr>
    </w:lvl>
    <w:lvl w:ilvl="4" w:tplc="D44E3F70" w:tentative="1">
      <w:start w:val="1"/>
      <w:numFmt w:val="bullet"/>
      <w:lvlText w:val="•"/>
      <w:lvlJc w:val="left"/>
      <w:pPr>
        <w:tabs>
          <w:tab w:val="num" w:pos="3600"/>
        </w:tabs>
        <w:ind w:left="3600" w:hanging="360"/>
      </w:pPr>
      <w:rPr>
        <w:rFonts w:ascii="Arial" w:hAnsi="Arial" w:hint="default"/>
      </w:rPr>
    </w:lvl>
    <w:lvl w:ilvl="5" w:tplc="FC7A7862" w:tentative="1">
      <w:start w:val="1"/>
      <w:numFmt w:val="bullet"/>
      <w:lvlText w:val="•"/>
      <w:lvlJc w:val="left"/>
      <w:pPr>
        <w:tabs>
          <w:tab w:val="num" w:pos="4320"/>
        </w:tabs>
        <w:ind w:left="4320" w:hanging="360"/>
      </w:pPr>
      <w:rPr>
        <w:rFonts w:ascii="Arial" w:hAnsi="Arial" w:hint="default"/>
      </w:rPr>
    </w:lvl>
    <w:lvl w:ilvl="6" w:tplc="CB80950E" w:tentative="1">
      <w:start w:val="1"/>
      <w:numFmt w:val="bullet"/>
      <w:lvlText w:val="•"/>
      <w:lvlJc w:val="left"/>
      <w:pPr>
        <w:tabs>
          <w:tab w:val="num" w:pos="5040"/>
        </w:tabs>
        <w:ind w:left="5040" w:hanging="360"/>
      </w:pPr>
      <w:rPr>
        <w:rFonts w:ascii="Arial" w:hAnsi="Arial" w:hint="default"/>
      </w:rPr>
    </w:lvl>
    <w:lvl w:ilvl="7" w:tplc="C48479EC" w:tentative="1">
      <w:start w:val="1"/>
      <w:numFmt w:val="bullet"/>
      <w:lvlText w:val="•"/>
      <w:lvlJc w:val="left"/>
      <w:pPr>
        <w:tabs>
          <w:tab w:val="num" w:pos="5760"/>
        </w:tabs>
        <w:ind w:left="5760" w:hanging="360"/>
      </w:pPr>
      <w:rPr>
        <w:rFonts w:ascii="Arial" w:hAnsi="Arial" w:hint="default"/>
      </w:rPr>
    </w:lvl>
    <w:lvl w:ilvl="8" w:tplc="CA3E5C42" w:tentative="1">
      <w:start w:val="1"/>
      <w:numFmt w:val="bullet"/>
      <w:lvlText w:val="•"/>
      <w:lvlJc w:val="left"/>
      <w:pPr>
        <w:tabs>
          <w:tab w:val="num" w:pos="6480"/>
        </w:tabs>
        <w:ind w:left="6480" w:hanging="360"/>
      </w:pPr>
      <w:rPr>
        <w:rFonts w:ascii="Arial" w:hAnsi="Arial" w:hint="default"/>
      </w:rPr>
    </w:lvl>
  </w:abstractNum>
  <w:abstractNum w:abstractNumId="38">
    <w:nsid w:val="7B0D643B"/>
    <w:multiLevelType w:val="hybridMultilevel"/>
    <w:tmpl w:val="0E205562"/>
    <w:lvl w:ilvl="0" w:tplc="F286909C">
      <w:start w:val="1"/>
      <w:numFmt w:val="bullet"/>
      <w:lvlText w:val="•"/>
      <w:lvlJc w:val="left"/>
      <w:pPr>
        <w:tabs>
          <w:tab w:val="num" w:pos="720"/>
        </w:tabs>
        <w:ind w:left="720" w:hanging="360"/>
      </w:pPr>
      <w:rPr>
        <w:rFonts w:ascii="Arial" w:hAnsi="Arial" w:hint="default"/>
      </w:rPr>
    </w:lvl>
    <w:lvl w:ilvl="1" w:tplc="1BA87AF4" w:tentative="1">
      <w:start w:val="1"/>
      <w:numFmt w:val="bullet"/>
      <w:lvlText w:val="•"/>
      <w:lvlJc w:val="left"/>
      <w:pPr>
        <w:tabs>
          <w:tab w:val="num" w:pos="1440"/>
        </w:tabs>
        <w:ind w:left="1440" w:hanging="360"/>
      </w:pPr>
      <w:rPr>
        <w:rFonts w:ascii="Arial" w:hAnsi="Arial" w:hint="default"/>
      </w:rPr>
    </w:lvl>
    <w:lvl w:ilvl="2" w:tplc="4F64329E" w:tentative="1">
      <w:start w:val="1"/>
      <w:numFmt w:val="bullet"/>
      <w:lvlText w:val="•"/>
      <w:lvlJc w:val="left"/>
      <w:pPr>
        <w:tabs>
          <w:tab w:val="num" w:pos="2160"/>
        </w:tabs>
        <w:ind w:left="2160" w:hanging="360"/>
      </w:pPr>
      <w:rPr>
        <w:rFonts w:ascii="Arial" w:hAnsi="Arial" w:hint="default"/>
      </w:rPr>
    </w:lvl>
    <w:lvl w:ilvl="3" w:tplc="23B07F48" w:tentative="1">
      <w:start w:val="1"/>
      <w:numFmt w:val="bullet"/>
      <w:lvlText w:val="•"/>
      <w:lvlJc w:val="left"/>
      <w:pPr>
        <w:tabs>
          <w:tab w:val="num" w:pos="2880"/>
        </w:tabs>
        <w:ind w:left="2880" w:hanging="360"/>
      </w:pPr>
      <w:rPr>
        <w:rFonts w:ascii="Arial" w:hAnsi="Arial" w:hint="default"/>
      </w:rPr>
    </w:lvl>
    <w:lvl w:ilvl="4" w:tplc="7BEED216" w:tentative="1">
      <w:start w:val="1"/>
      <w:numFmt w:val="bullet"/>
      <w:lvlText w:val="•"/>
      <w:lvlJc w:val="left"/>
      <w:pPr>
        <w:tabs>
          <w:tab w:val="num" w:pos="3600"/>
        </w:tabs>
        <w:ind w:left="3600" w:hanging="360"/>
      </w:pPr>
      <w:rPr>
        <w:rFonts w:ascii="Arial" w:hAnsi="Arial" w:hint="default"/>
      </w:rPr>
    </w:lvl>
    <w:lvl w:ilvl="5" w:tplc="3152688C" w:tentative="1">
      <w:start w:val="1"/>
      <w:numFmt w:val="bullet"/>
      <w:lvlText w:val="•"/>
      <w:lvlJc w:val="left"/>
      <w:pPr>
        <w:tabs>
          <w:tab w:val="num" w:pos="4320"/>
        </w:tabs>
        <w:ind w:left="4320" w:hanging="360"/>
      </w:pPr>
      <w:rPr>
        <w:rFonts w:ascii="Arial" w:hAnsi="Arial" w:hint="default"/>
      </w:rPr>
    </w:lvl>
    <w:lvl w:ilvl="6" w:tplc="5A5619E4" w:tentative="1">
      <w:start w:val="1"/>
      <w:numFmt w:val="bullet"/>
      <w:lvlText w:val="•"/>
      <w:lvlJc w:val="left"/>
      <w:pPr>
        <w:tabs>
          <w:tab w:val="num" w:pos="5040"/>
        </w:tabs>
        <w:ind w:left="5040" w:hanging="360"/>
      </w:pPr>
      <w:rPr>
        <w:rFonts w:ascii="Arial" w:hAnsi="Arial" w:hint="default"/>
      </w:rPr>
    </w:lvl>
    <w:lvl w:ilvl="7" w:tplc="B28C4B86" w:tentative="1">
      <w:start w:val="1"/>
      <w:numFmt w:val="bullet"/>
      <w:lvlText w:val="•"/>
      <w:lvlJc w:val="left"/>
      <w:pPr>
        <w:tabs>
          <w:tab w:val="num" w:pos="5760"/>
        </w:tabs>
        <w:ind w:left="5760" w:hanging="360"/>
      </w:pPr>
      <w:rPr>
        <w:rFonts w:ascii="Arial" w:hAnsi="Arial" w:hint="default"/>
      </w:rPr>
    </w:lvl>
    <w:lvl w:ilvl="8" w:tplc="B680FCA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2"/>
  </w:num>
  <w:num w:numId="3">
    <w:abstractNumId w:val="32"/>
  </w:num>
  <w:num w:numId="4">
    <w:abstractNumId w:val="26"/>
  </w:num>
  <w:num w:numId="5">
    <w:abstractNumId w:val="24"/>
  </w:num>
  <w:num w:numId="6">
    <w:abstractNumId w:val="21"/>
  </w:num>
  <w:num w:numId="7">
    <w:abstractNumId w:val="20"/>
  </w:num>
  <w:num w:numId="8">
    <w:abstractNumId w:val="37"/>
  </w:num>
  <w:num w:numId="9">
    <w:abstractNumId w:val="4"/>
  </w:num>
  <w:num w:numId="10">
    <w:abstractNumId w:val="38"/>
  </w:num>
  <w:num w:numId="11">
    <w:abstractNumId w:val="0"/>
  </w:num>
  <w:num w:numId="12">
    <w:abstractNumId w:val="8"/>
  </w:num>
  <w:num w:numId="13">
    <w:abstractNumId w:val="10"/>
  </w:num>
  <w:num w:numId="14">
    <w:abstractNumId w:val="1"/>
  </w:num>
  <w:num w:numId="15">
    <w:abstractNumId w:val="9"/>
  </w:num>
  <w:num w:numId="16">
    <w:abstractNumId w:val="28"/>
  </w:num>
  <w:num w:numId="17">
    <w:abstractNumId w:val="3"/>
  </w:num>
  <w:num w:numId="18">
    <w:abstractNumId w:val="18"/>
  </w:num>
  <w:num w:numId="19">
    <w:abstractNumId w:val="19"/>
  </w:num>
  <w:num w:numId="20">
    <w:abstractNumId w:val="17"/>
  </w:num>
  <w:num w:numId="21">
    <w:abstractNumId w:val="34"/>
  </w:num>
  <w:num w:numId="22">
    <w:abstractNumId w:val="31"/>
  </w:num>
  <w:num w:numId="23">
    <w:abstractNumId w:val="14"/>
  </w:num>
  <w:num w:numId="24">
    <w:abstractNumId w:val="36"/>
  </w:num>
  <w:num w:numId="25">
    <w:abstractNumId w:val="13"/>
  </w:num>
  <w:num w:numId="26">
    <w:abstractNumId w:val="11"/>
  </w:num>
  <w:num w:numId="27">
    <w:abstractNumId w:val="7"/>
  </w:num>
  <w:num w:numId="28">
    <w:abstractNumId w:val="6"/>
  </w:num>
  <w:num w:numId="29">
    <w:abstractNumId w:val="29"/>
  </w:num>
  <w:num w:numId="30">
    <w:abstractNumId w:val="25"/>
  </w:num>
  <w:num w:numId="31">
    <w:abstractNumId w:val="16"/>
  </w:num>
  <w:num w:numId="32">
    <w:abstractNumId w:val="27"/>
  </w:num>
  <w:num w:numId="33">
    <w:abstractNumId w:val="33"/>
  </w:num>
  <w:num w:numId="34">
    <w:abstractNumId w:val="30"/>
  </w:num>
  <w:num w:numId="35">
    <w:abstractNumId w:val="35"/>
  </w:num>
  <w:num w:numId="36">
    <w:abstractNumId w:val="23"/>
  </w:num>
  <w:num w:numId="37">
    <w:abstractNumId w:val="15"/>
  </w:num>
  <w:num w:numId="38">
    <w:abstractNumId w:val="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footnotePr>
    <w:footnote w:id="-1"/>
    <w:footnote w:id="0"/>
  </w:footnotePr>
  <w:endnotePr>
    <w:endnote w:id="-1"/>
    <w:endnote w:id="0"/>
  </w:endnotePr>
  <w:compat/>
  <w:rsids>
    <w:rsidRoot w:val="002D07C8"/>
    <w:rsid w:val="000001AC"/>
    <w:rsid w:val="00004480"/>
    <w:rsid w:val="00005480"/>
    <w:rsid w:val="00015617"/>
    <w:rsid w:val="00020A04"/>
    <w:rsid w:val="00024B04"/>
    <w:rsid w:val="0002602A"/>
    <w:rsid w:val="00031B03"/>
    <w:rsid w:val="00034C2A"/>
    <w:rsid w:val="00042547"/>
    <w:rsid w:val="00046695"/>
    <w:rsid w:val="0004751A"/>
    <w:rsid w:val="00065FF4"/>
    <w:rsid w:val="0006702D"/>
    <w:rsid w:val="0007296D"/>
    <w:rsid w:val="000734D9"/>
    <w:rsid w:val="00073BA6"/>
    <w:rsid w:val="00074EE0"/>
    <w:rsid w:val="00075A90"/>
    <w:rsid w:val="000760B9"/>
    <w:rsid w:val="00080EAD"/>
    <w:rsid w:val="000825AC"/>
    <w:rsid w:val="000837B6"/>
    <w:rsid w:val="00083FF8"/>
    <w:rsid w:val="00091329"/>
    <w:rsid w:val="000922F9"/>
    <w:rsid w:val="00092900"/>
    <w:rsid w:val="00092A5B"/>
    <w:rsid w:val="000949DD"/>
    <w:rsid w:val="000956A4"/>
    <w:rsid w:val="00095952"/>
    <w:rsid w:val="00097DEC"/>
    <w:rsid w:val="000A00B1"/>
    <w:rsid w:val="000A7888"/>
    <w:rsid w:val="000B62D8"/>
    <w:rsid w:val="000B763E"/>
    <w:rsid w:val="000C1BC5"/>
    <w:rsid w:val="000C20CF"/>
    <w:rsid w:val="000C5AA2"/>
    <w:rsid w:val="000C6C2D"/>
    <w:rsid w:val="000E0E3F"/>
    <w:rsid w:val="000E208F"/>
    <w:rsid w:val="000E3071"/>
    <w:rsid w:val="000E43F3"/>
    <w:rsid w:val="000E4F48"/>
    <w:rsid w:val="000E6BE3"/>
    <w:rsid w:val="000E74EA"/>
    <w:rsid w:val="000E75A4"/>
    <w:rsid w:val="000F4A57"/>
    <w:rsid w:val="000F7C20"/>
    <w:rsid w:val="00103390"/>
    <w:rsid w:val="00111DB0"/>
    <w:rsid w:val="001131F9"/>
    <w:rsid w:val="0011690D"/>
    <w:rsid w:val="001200B1"/>
    <w:rsid w:val="00121F0E"/>
    <w:rsid w:val="00127BC0"/>
    <w:rsid w:val="00131C4B"/>
    <w:rsid w:val="001344D9"/>
    <w:rsid w:val="00145B99"/>
    <w:rsid w:val="00152F37"/>
    <w:rsid w:val="001564A2"/>
    <w:rsid w:val="00160C65"/>
    <w:rsid w:val="0016299B"/>
    <w:rsid w:val="00170E11"/>
    <w:rsid w:val="00181FC7"/>
    <w:rsid w:val="0018519F"/>
    <w:rsid w:val="001864CB"/>
    <w:rsid w:val="00197EE8"/>
    <w:rsid w:val="001A1BEC"/>
    <w:rsid w:val="001A4C10"/>
    <w:rsid w:val="001A64AF"/>
    <w:rsid w:val="001A6BE7"/>
    <w:rsid w:val="001A7B88"/>
    <w:rsid w:val="001B3C7C"/>
    <w:rsid w:val="001B578D"/>
    <w:rsid w:val="001C1C9D"/>
    <w:rsid w:val="001C3175"/>
    <w:rsid w:val="001C386E"/>
    <w:rsid w:val="001C7BE8"/>
    <w:rsid w:val="001D06C2"/>
    <w:rsid w:val="001D115C"/>
    <w:rsid w:val="001D1E44"/>
    <w:rsid w:val="001D650C"/>
    <w:rsid w:val="001E3B63"/>
    <w:rsid w:val="001E407B"/>
    <w:rsid w:val="001E412F"/>
    <w:rsid w:val="001E6C3D"/>
    <w:rsid w:val="001F013A"/>
    <w:rsid w:val="001F02F0"/>
    <w:rsid w:val="001F1770"/>
    <w:rsid w:val="001F268E"/>
    <w:rsid w:val="001F2C7C"/>
    <w:rsid w:val="001F6FC5"/>
    <w:rsid w:val="00200711"/>
    <w:rsid w:val="002020B6"/>
    <w:rsid w:val="00203494"/>
    <w:rsid w:val="00206DF6"/>
    <w:rsid w:val="00207B2E"/>
    <w:rsid w:val="00215072"/>
    <w:rsid w:val="002203BE"/>
    <w:rsid w:val="00221525"/>
    <w:rsid w:val="002260BF"/>
    <w:rsid w:val="00234D18"/>
    <w:rsid w:val="00244103"/>
    <w:rsid w:val="00252124"/>
    <w:rsid w:val="00252235"/>
    <w:rsid w:val="00253B65"/>
    <w:rsid w:val="00254F52"/>
    <w:rsid w:val="002552BA"/>
    <w:rsid w:val="002557BE"/>
    <w:rsid w:val="00257FF0"/>
    <w:rsid w:val="00260DE1"/>
    <w:rsid w:val="00270A13"/>
    <w:rsid w:val="00273C9E"/>
    <w:rsid w:val="00281052"/>
    <w:rsid w:val="0028786E"/>
    <w:rsid w:val="002908E8"/>
    <w:rsid w:val="0029384C"/>
    <w:rsid w:val="002A79AD"/>
    <w:rsid w:val="002B04B1"/>
    <w:rsid w:val="002B37F9"/>
    <w:rsid w:val="002C5BD0"/>
    <w:rsid w:val="002D01C1"/>
    <w:rsid w:val="002D07C8"/>
    <w:rsid w:val="002D1B88"/>
    <w:rsid w:val="002D1F2D"/>
    <w:rsid w:val="002D3D08"/>
    <w:rsid w:val="002D486C"/>
    <w:rsid w:val="002D5989"/>
    <w:rsid w:val="002D7409"/>
    <w:rsid w:val="002E272D"/>
    <w:rsid w:val="002E3593"/>
    <w:rsid w:val="002E3F22"/>
    <w:rsid w:val="002E7019"/>
    <w:rsid w:val="002E7748"/>
    <w:rsid w:val="002E77A8"/>
    <w:rsid w:val="002E7B74"/>
    <w:rsid w:val="002F2664"/>
    <w:rsid w:val="002F2A86"/>
    <w:rsid w:val="002F2AA9"/>
    <w:rsid w:val="002F308F"/>
    <w:rsid w:val="002F5EB2"/>
    <w:rsid w:val="002F68C8"/>
    <w:rsid w:val="00304723"/>
    <w:rsid w:val="00314A7F"/>
    <w:rsid w:val="00321BD7"/>
    <w:rsid w:val="00322443"/>
    <w:rsid w:val="00322D93"/>
    <w:rsid w:val="003242C4"/>
    <w:rsid w:val="0032479A"/>
    <w:rsid w:val="00324ADB"/>
    <w:rsid w:val="003305B9"/>
    <w:rsid w:val="003362C3"/>
    <w:rsid w:val="00342E48"/>
    <w:rsid w:val="00343C20"/>
    <w:rsid w:val="00345568"/>
    <w:rsid w:val="00347D6B"/>
    <w:rsid w:val="0035784E"/>
    <w:rsid w:val="0036308D"/>
    <w:rsid w:val="0036368D"/>
    <w:rsid w:val="003656E1"/>
    <w:rsid w:val="003663A6"/>
    <w:rsid w:val="00366A2E"/>
    <w:rsid w:val="00374B30"/>
    <w:rsid w:val="0038217F"/>
    <w:rsid w:val="003855F5"/>
    <w:rsid w:val="00387167"/>
    <w:rsid w:val="00396089"/>
    <w:rsid w:val="00396B0B"/>
    <w:rsid w:val="003A4962"/>
    <w:rsid w:val="003B4597"/>
    <w:rsid w:val="003B4AD8"/>
    <w:rsid w:val="003B66C0"/>
    <w:rsid w:val="003E085F"/>
    <w:rsid w:val="003E0A4C"/>
    <w:rsid w:val="003E7C74"/>
    <w:rsid w:val="003F0DF3"/>
    <w:rsid w:val="003F2305"/>
    <w:rsid w:val="003F233D"/>
    <w:rsid w:val="003F56A5"/>
    <w:rsid w:val="004002E6"/>
    <w:rsid w:val="0040386A"/>
    <w:rsid w:val="0040454A"/>
    <w:rsid w:val="00413D2C"/>
    <w:rsid w:val="00416A9A"/>
    <w:rsid w:val="004176F2"/>
    <w:rsid w:val="00417D2D"/>
    <w:rsid w:val="00423485"/>
    <w:rsid w:val="00426EA7"/>
    <w:rsid w:val="0042761C"/>
    <w:rsid w:val="00432B75"/>
    <w:rsid w:val="004338F7"/>
    <w:rsid w:val="00434A04"/>
    <w:rsid w:val="004425D4"/>
    <w:rsid w:val="0044380D"/>
    <w:rsid w:val="004463E0"/>
    <w:rsid w:val="00447BF8"/>
    <w:rsid w:val="00452BEA"/>
    <w:rsid w:val="00453029"/>
    <w:rsid w:val="00454405"/>
    <w:rsid w:val="0045440F"/>
    <w:rsid w:val="00455C75"/>
    <w:rsid w:val="00461687"/>
    <w:rsid w:val="00461874"/>
    <w:rsid w:val="004669F9"/>
    <w:rsid w:val="00473E8A"/>
    <w:rsid w:val="00485CA3"/>
    <w:rsid w:val="004905E9"/>
    <w:rsid w:val="004A0644"/>
    <w:rsid w:val="004A5D72"/>
    <w:rsid w:val="004B509A"/>
    <w:rsid w:val="004B63F7"/>
    <w:rsid w:val="004B6AD8"/>
    <w:rsid w:val="004C38E0"/>
    <w:rsid w:val="004C506A"/>
    <w:rsid w:val="004C588C"/>
    <w:rsid w:val="004D3E7C"/>
    <w:rsid w:val="004D5264"/>
    <w:rsid w:val="004E4066"/>
    <w:rsid w:val="004E5C1F"/>
    <w:rsid w:val="004E77D4"/>
    <w:rsid w:val="004F4292"/>
    <w:rsid w:val="00502844"/>
    <w:rsid w:val="00505222"/>
    <w:rsid w:val="00507926"/>
    <w:rsid w:val="0052440F"/>
    <w:rsid w:val="00525A2F"/>
    <w:rsid w:val="00526CE6"/>
    <w:rsid w:val="00526FED"/>
    <w:rsid w:val="00527AFA"/>
    <w:rsid w:val="00530881"/>
    <w:rsid w:val="0053471B"/>
    <w:rsid w:val="00535282"/>
    <w:rsid w:val="00537A6B"/>
    <w:rsid w:val="005442C7"/>
    <w:rsid w:val="00546C2E"/>
    <w:rsid w:val="00546E2F"/>
    <w:rsid w:val="00547779"/>
    <w:rsid w:val="00550516"/>
    <w:rsid w:val="00551312"/>
    <w:rsid w:val="00552B5D"/>
    <w:rsid w:val="00554D51"/>
    <w:rsid w:val="0055546D"/>
    <w:rsid w:val="00566945"/>
    <w:rsid w:val="00571A14"/>
    <w:rsid w:val="0058197D"/>
    <w:rsid w:val="00586A3E"/>
    <w:rsid w:val="00586ABE"/>
    <w:rsid w:val="0059171E"/>
    <w:rsid w:val="005A14FB"/>
    <w:rsid w:val="005A5338"/>
    <w:rsid w:val="005A66A0"/>
    <w:rsid w:val="005B025F"/>
    <w:rsid w:val="005B4A0C"/>
    <w:rsid w:val="005C17C1"/>
    <w:rsid w:val="005C3D97"/>
    <w:rsid w:val="005C3EA6"/>
    <w:rsid w:val="005C431E"/>
    <w:rsid w:val="005C43D0"/>
    <w:rsid w:val="005D21E7"/>
    <w:rsid w:val="005E023A"/>
    <w:rsid w:val="005E16F6"/>
    <w:rsid w:val="005E233F"/>
    <w:rsid w:val="005F1C69"/>
    <w:rsid w:val="005F35BA"/>
    <w:rsid w:val="00603A69"/>
    <w:rsid w:val="0060512E"/>
    <w:rsid w:val="00607B52"/>
    <w:rsid w:val="0062102C"/>
    <w:rsid w:val="00621C48"/>
    <w:rsid w:val="00626D58"/>
    <w:rsid w:val="00631853"/>
    <w:rsid w:val="006318DC"/>
    <w:rsid w:val="0063346E"/>
    <w:rsid w:val="00634F50"/>
    <w:rsid w:val="00641DB2"/>
    <w:rsid w:val="0064293F"/>
    <w:rsid w:val="0064540A"/>
    <w:rsid w:val="00651274"/>
    <w:rsid w:val="00652F59"/>
    <w:rsid w:val="00656DFB"/>
    <w:rsid w:val="0065754B"/>
    <w:rsid w:val="00664047"/>
    <w:rsid w:val="00671982"/>
    <w:rsid w:val="00674C72"/>
    <w:rsid w:val="00680DD3"/>
    <w:rsid w:val="006821CF"/>
    <w:rsid w:val="00685C62"/>
    <w:rsid w:val="00685E19"/>
    <w:rsid w:val="00686E62"/>
    <w:rsid w:val="006870A8"/>
    <w:rsid w:val="00687F1A"/>
    <w:rsid w:val="006A39A5"/>
    <w:rsid w:val="006B3A95"/>
    <w:rsid w:val="006B4586"/>
    <w:rsid w:val="006B5207"/>
    <w:rsid w:val="006B7D9B"/>
    <w:rsid w:val="006C14EF"/>
    <w:rsid w:val="006C506A"/>
    <w:rsid w:val="006C7CE3"/>
    <w:rsid w:val="006D00C7"/>
    <w:rsid w:val="006D42C1"/>
    <w:rsid w:val="006D4980"/>
    <w:rsid w:val="006E3006"/>
    <w:rsid w:val="006E4318"/>
    <w:rsid w:val="006E47C6"/>
    <w:rsid w:val="006E500F"/>
    <w:rsid w:val="006E5E58"/>
    <w:rsid w:val="006F2178"/>
    <w:rsid w:val="006F4BAC"/>
    <w:rsid w:val="006F5CC9"/>
    <w:rsid w:val="006F66EF"/>
    <w:rsid w:val="00701766"/>
    <w:rsid w:val="00701ED3"/>
    <w:rsid w:val="00705935"/>
    <w:rsid w:val="00705BD5"/>
    <w:rsid w:val="00711767"/>
    <w:rsid w:val="00712914"/>
    <w:rsid w:val="00716198"/>
    <w:rsid w:val="00722402"/>
    <w:rsid w:val="0072441F"/>
    <w:rsid w:val="00724463"/>
    <w:rsid w:val="007321E8"/>
    <w:rsid w:val="00733135"/>
    <w:rsid w:val="00734049"/>
    <w:rsid w:val="0073432B"/>
    <w:rsid w:val="0074395A"/>
    <w:rsid w:val="00746E43"/>
    <w:rsid w:val="0075305B"/>
    <w:rsid w:val="00753944"/>
    <w:rsid w:val="007604DA"/>
    <w:rsid w:val="00770E7C"/>
    <w:rsid w:val="00774156"/>
    <w:rsid w:val="0077430C"/>
    <w:rsid w:val="00774F88"/>
    <w:rsid w:val="0077561A"/>
    <w:rsid w:val="0077642E"/>
    <w:rsid w:val="00784C11"/>
    <w:rsid w:val="00785073"/>
    <w:rsid w:val="0078588D"/>
    <w:rsid w:val="00785B55"/>
    <w:rsid w:val="0078620D"/>
    <w:rsid w:val="0079356C"/>
    <w:rsid w:val="00795C11"/>
    <w:rsid w:val="00797493"/>
    <w:rsid w:val="007A0CBB"/>
    <w:rsid w:val="007A33E5"/>
    <w:rsid w:val="007B0C20"/>
    <w:rsid w:val="007B1930"/>
    <w:rsid w:val="007B2C70"/>
    <w:rsid w:val="007B4D20"/>
    <w:rsid w:val="007B523E"/>
    <w:rsid w:val="007B539F"/>
    <w:rsid w:val="007B56E3"/>
    <w:rsid w:val="007B697C"/>
    <w:rsid w:val="007C03F2"/>
    <w:rsid w:val="007C223D"/>
    <w:rsid w:val="007C3567"/>
    <w:rsid w:val="007D2078"/>
    <w:rsid w:val="007E2E7A"/>
    <w:rsid w:val="007E30DB"/>
    <w:rsid w:val="007E4A8F"/>
    <w:rsid w:val="007E511B"/>
    <w:rsid w:val="007F492E"/>
    <w:rsid w:val="007F7465"/>
    <w:rsid w:val="007F7A86"/>
    <w:rsid w:val="0080170E"/>
    <w:rsid w:val="008019EA"/>
    <w:rsid w:val="00801A37"/>
    <w:rsid w:val="00801F74"/>
    <w:rsid w:val="008033ED"/>
    <w:rsid w:val="00804567"/>
    <w:rsid w:val="00807B80"/>
    <w:rsid w:val="00815E97"/>
    <w:rsid w:val="00817DCE"/>
    <w:rsid w:val="00824BD4"/>
    <w:rsid w:val="00825AA0"/>
    <w:rsid w:val="0082763E"/>
    <w:rsid w:val="00831D93"/>
    <w:rsid w:val="00834A0A"/>
    <w:rsid w:val="00837B6F"/>
    <w:rsid w:val="00840C4F"/>
    <w:rsid w:val="00841924"/>
    <w:rsid w:val="008438F9"/>
    <w:rsid w:val="00845E65"/>
    <w:rsid w:val="008523DB"/>
    <w:rsid w:val="0085320E"/>
    <w:rsid w:val="00855798"/>
    <w:rsid w:val="008568A0"/>
    <w:rsid w:val="00866347"/>
    <w:rsid w:val="00877336"/>
    <w:rsid w:val="00877D00"/>
    <w:rsid w:val="0088069C"/>
    <w:rsid w:val="00883E19"/>
    <w:rsid w:val="0089102B"/>
    <w:rsid w:val="00894B6C"/>
    <w:rsid w:val="008973F2"/>
    <w:rsid w:val="008A3E81"/>
    <w:rsid w:val="008A5C8F"/>
    <w:rsid w:val="008A5EFA"/>
    <w:rsid w:val="008B179D"/>
    <w:rsid w:val="008B1B91"/>
    <w:rsid w:val="008B1EEC"/>
    <w:rsid w:val="008B2C64"/>
    <w:rsid w:val="008C2E9D"/>
    <w:rsid w:val="008D0F09"/>
    <w:rsid w:val="008D447C"/>
    <w:rsid w:val="008D5D46"/>
    <w:rsid w:val="008E2185"/>
    <w:rsid w:val="008E3571"/>
    <w:rsid w:val="008F0096"/>
    <w:rsid w:val="008F10F0"/>
    <w:rsid w:val="0090589A"/>
    <w:rsid w:val="00912D6A"/>
    <w:rsid w:val="00914ACC"/>
    <w:rsid w:val="00926139"/>
    <w:rsid w:val="0092758A"/>
    <w:rsid w:val="00927E19"/>
    <w:rsid w:val="00933D66"/>
    <w:rsid w:val="00935BDD"/>
    <w:rsid w:val="009360F0"/>
    <w:rsid w:val="0094461F"/>
    <w:rsid w:val="00945B4E"/>
    <w:rsid w:val="00950E99"/>
    <w:rsid w:val="00954583"/>
    <w:rsid w:val="009565C5"/>
    <w:rsid w:val="009571A3"/>
    <w:rsid w:val="00961D10"/>
    <w:rsid w:val="009620E3"/>
    <w:rsid w:val="00964FC2"/>
    <w:rsid w:val="0096558A"/>
    <w:rsid w:val="00966D1F"/>
    <w:rsid w:val="00966E8E"/>
    <w:rsid w:val="00967F51"/>
    <w:rsid w:val="00972D41"/>
    <w:rsid w:val="00973971"/>
    <w:rsid w:val="009761DA"/>
    <w:rsid w:val="00980914"/>
    <w:rsid w:val="00980B56"/>
    <w:rsid w:val="009825A2"/>
    <w:rsid w:val="00987BC8"/>
    <w:rsid w:val="00990463"/>
    <w:rsid w:val="00990AD9"/>
    <w:rsid w:val="0099213E"/>
    <w:rsid w:val="00996668"/>
    <w:rsid w:val="00996AE1"/>
    <w:rsid w:val="009A060E"/>
    <w:rsid w:val="009A15FF"/>
    <w:rsid w:val="009A16E8"/>
    <w:rsid w:val="009A2EEF"/>
    <w:rsid w:val="009A3F67"/>
    <w:rsid w:val="009B1407"/>
    <w:rsid w:val="009B2034"/>
    <w:rsid w:val="009B3DA9"/>
    <w:rsid w:val="009B3F12"/>
    <w:rsid w:val="009B4213"/>
    <w:rsid w:val="009C0180"/>
    <w:rsid w:val="009C11B2"/>
    <w:rsid w:val="009C30DE"/>
    <w:rsid w:val="009C44C9"/>
    <w:rsid w:val="009D0DDD"/>
    <w:rsid w:val="009D16F8"/>
    <w:rsid w:val="009D1A15"/>
    <w:rsid w:val="009D5878"/>
    <w:rsid w:val="009E03D5"/>
    <w:rsid w:val="009E1751"/>
    <w:rsid w:val="009E2B29"/>
    <w:rsid w:val="009E3D18"/>
    <w:rsid w:val="009F083F"/>
    <w:rsid w:val="009F153C"/>
    <w:rsid w:val="00A01AC6"/>
    <w:rsid w:val="00A022DB"/>
    <w:rsid w:val="00A03BDA"/>
    <w:rsid w:val="00A04B09"/>
    <w:rsid w:val="00A05C5E"/>
    <w:rsid w:val="00A16AD6"/>
    <w:rsid w:val="00A16DAE"/>
    <w:rsid w:val="00A1701A"/>
    <w:rsid w:val="00A21AB4"/>
    <w:rsid w:val="00A25584"/>
    <w:rsid w:val="00A25E94"/>
    <w:rsid w:val="00A261EE"/>
    <w:rsid w:val="00A51813"/>
    <w:rsid w:val="00A53FA0"/>
    <w:rsid w:val="00A56D18"/>
    <w:rsid w:val="00A5759E"/>
    <w:rsid w:val="00A66A69"/>
    <w:rsid w:val="00A81EFF"/>
    <w:rsid w:val="00A825B9"/>
    <w:rsid w:val="00A87A4B"/>
    <w:rsid w:val="00A87E74"/>
    <w:rsid w:val="00A922AD"/>
    <w:rsid w:val="00AA0094"/>
    <w:rsid w:val="00AA3788"/>
    <w:rsid w:val="00AA3D5C"/>
    <w:rsid w:val="00AB3146"/>
    <w:rsid w:val="00AB7058"/>
    <w:rsid w:val="00AC1A66"/>
    <w:rsid w:val="00AC39B1"/>
    <w:rsid w:val="00AC7A76"/>
    <w:rsid w:val="00AD016D"/>
    <w:rsid w:val="00AD1D66"/>
    <w:rsid w:val="00AE04D5"/>
    <w:rsid w:val="00AE296F"/>
    <w:rsid w:val="00AE2CE5"/>
    <w:rsid w:val="00AE568B"/>
    <w:rsid w:val="00AF14F4"/>
    <w:rsid w:val="00AF3097"/>
    <w:rsid w:val="00AF4087"/>
    <w:rsid w:val="00AF5362"/>
    <w:rsid w:val="00AF7803"/>
    <w:rsid w:val="00B022D7"/>
    <w:rsid w:val="00B05963"/>
    <w:rsid w:val="00B05E4B"/>
    <w:rsid w:val="00B13D3E"/>
    <w:rsid w:val="00B16955"/>
    <w:rsid w:val="00B250A3"/>
    <w:rsid w:val="00B30A74"/>
    <w:rsid w:val="00B31EF5"/>
    <w:rsid w:val="00B32CC0"/>
    <w:rsid w:val="00B41F74"/>
    <w:rsid w:val="00B4786A"/>
    <w:rsid w:val="00B47F7E"/>
    <w:rsid w:val="00B61024"/>
    <w:rsid w:val="00B61206"/>
    <w:rsid w:val="00B66DD0"/>
    <w:rsid w:val="00B76660"/>
    <w:rsid w:val="00B80076"/>
    <w:rsid w:val="00B820D6"/>
    <w:rsid w:val="00B84F0F"/>
    <w:rsid w:val="00B851FB"/>
    <w:rsid w:val="00B870DA"/>
    <w:rsid w:val="00B9451E"/>
    <w:rsid w:val="00BA51C5"/>
    <w:rsid w:val="00BA6908"/>
    <w:rsid w:val="00BB44A6"/>
    <w:rsid w:val="00BB7470"/>
    <w:rsid w:val="00BC1559"/>
    <w:rsid w:val="00BC4B35"/>
    <w:rsid w:val="00BC62AD"/>
    <w:rsid w:val="00BC6AE1"/>
    <w:rsid w:val="00BC7BFD"/>
    <w:rsid w:val="00BD0B4C"/>
    <w:rsid w:val="00BE0272"/>
    <w:rsid w:val="00BE53A4"/>
    <w:rsid w:val="00BF3DA5"/>
    <w:rsid w:val="00C00F5D"/>
    <w:rsid w:val="00C062FA"/>
    <w:rsid w:val="00C073B8"/>
    <w:rsid w:val="00C10BDB"/>
    <w:rsid w:val="00C21B8B"/>
    <w:rsid w:val="00C325F3"/>
    <w:rsid w:val="00C33471"/>
    <w:rsid w:val="00C410C0"/>
    <w:rsid w:val="00C43423"/>
    <w:rsid w:val="00C44634"/>
    <w:rsid w:val="00C47311"/>
    <w:rsid w:val="00C50F2E"/>
    <w:rsid w:val="00C55D23"/>
    <w:rsid w:val="00C650F8"/>
    <w:rsid w:val="00C66F2D"/>
    <w:rsid w:val="00C734ED"/>
    <w:rsid w:val="00C740CF"/>
    <w:rsid w:val="00C74CFE"/>
    <w:rsid w:val="00C77532"/>
    <w:rsid w:val="00C77967"/>
    <w:rsid w:val="00C8031F"/>
    <w:rsid w:val="00C80840"/>
    <w:rsid w:val="00C81BCD"/>
    <w:rsid w:val="00C82228"/>
    <w:rsid w:val="00C82677"/>
    <w:rsid w:val="00C8429C"/>
    <w:rsid w:val="00C92066"/>
    <w:rsid w:val="00C949B3"/>
    <w:rsid w:val="00C978A3"/>
    <w:rsid w:val="00CA0B26"/>
    <w:rsid w:val="00CA3A9E"/>
    <w:rsid w:val="00CA3C54"/>
    <w:rsid w:val="00CA3DAA"/>
    <w:rsid w:val="00CA4897"/>
    <w:rsid w:val="00CB1C74"/>
    <w:rsid w:val="00CB548E"/>
    <w:rsid w:val="00CC37C2"/>
    <w:rsid w:val="00CC633F"/>
    <w:rsid w:val="00CE2EAC"/>
    <w:rsid w:val="00CE6EE1"/>
    <w:rsid w:val="00CE6FE2"/>
    <w:rsid w:val="00CF091D"/>
    <w:rsid w:val="00CF132D"/>
    <w:rsid w:val="00CF326B"/>
    <w:rsid w:val="00CF3DFD"/>
    <w:rsid w:val="00CF6A59"/>
    <w:rsid w:val="00D101E3"/>
    <w:rsid w:val="00D1164A"/>
    <w:rsid w:val="00D12B63"/>
    <w:rsid w:val="00D16D2B"/>
    <w:rsid w:val="00D2460A"/>
    <w:rsid w:val="00D34CEB"/>
    <w:rsid w:val="00D42887"/>
    <w:rsid w:val="00D42EC2"/>
    <w:rsid w:val="00D512A1"/>
    <w:rsid w:val="00D51BC0"/>
    <w:rsid w:val="00D52085"/>
    <w:rsid w:val="00D54E20"/>
    <w:rsid w:val="00D554CA"/>
    <w:rsid w:val="00D57568"/>
    <w:rsid w:val="00D57BDD"/>
    <w:rsid w:val="00D60773"/>
    <w:rsid w:val="00D630A3"/>
    <w:rsid w:val="00D66664"/>
    <w:rsid w:val="00D72565"/>
    <w:rsid w:val="00D80C72"/>
    <w:rsid w:val="00D810EF"/>
    <w:rsid w:val="00D923CE"/>
    <w:rsid w:val="00D97B07"/>
    <w:rsid w:val="00DA3DE9"/>
    <w:rsid w:val="00DA5D26"/>
    <w:rsid w:val="00DA64ED"/>
    <w:rsid w:val="00DA6B0D"/>
    <w:rsid w:val="00DB0065"/>
    <w:rsid w:val="00DB09F3"/>
    <w:rsid w:val="00DB3E0D"/>
    <w:rsid w:val="00DB438C"/>
    <w:rsid w:val="00DC0910"/>
    <w:rsid w:val="00DC1425"/>
    <w:rsid w:val="00DC2AB4"/>
    <w:rsid w:val="00DC47FF"/>
    <w:rsid w:val="00DD4C1C"/>
    <w:rsid w:val="00DD5B32"/>
    <w:rsid w:val="00DE6438"/>
    <w:rsid w:val="00DE7AE5"/>
    <w:rsid w:val="00DF0B10"/>
    <w:rsid w:val="00DF4351"/>
    <w:rsid w:val="00DF47C7"/>
    <w:rsid w:val="00DF587E"/>
    <w:rsid w:val="00DF60F9"/>
    <w:rsid w:val="00DF6774"/>
    <w:rsid w:val="00E00D1E"/>
    <w:rsid w:val="00E13346"/>
    <w:rsid w:val="00E2057E"/>
    <w:rsid w:val="00E244F2"/>
    <w:rsid w:val="00E270CA"/>
    <w:rsid w:val="00E27E50"/>
    <w:rsid w:val="00E31EA7"/>
    <w:rsid w:val="00E3215C"/>
    <w:rsid w:val="00E33431"/>
    <w:rsid w:val="00E33AD3"/>
    <w:rsid w:val="00E36562"/>
    <w:rsid w:val="00E40026"/>
    <w:rsid w:val="00E42469"/>
    <w:rsid w:val="00E44FDF"/>
    <w:rsid w:val="00E52548"/>
    <w:rsid w:val="00E548B6"/>
    <w:rsid w:val="00E56362"/>
    <w:rsid w:val="00E62ACC"/>
    <w:rsid w:val="00E66F5C"/>
    <w:rsid w:val="00E73E9B"/>
    <w:rsid w:val="00E74227"/>
    <w:rsid w:val="00E74AC6"/>
    <w:rsid w:val="00E754F1"/>
    <w:rsid w:val="00E8665E"/>
    <w:rsid w:val="00E87EFE"/>
    <w:rsid w:val="00E918E0"/>
    <w:rsid w:val="00EA1AFF"/>
    <w:rsid w:val="00EA41E3"/>
    <w:rsid w:val="00EB0FC5"/>
    <w:rsid w:val="00EB4B2A"/>
    <w:rsid w:val="00EB72A7"/>
    <w:rsid w:val="00EC1893"/>
    <w:rsid w:val="00EC3EDC"/>
    <w:rsid w:val="00EC562C"/>
    <w:rsid w:val="00EC6767"/>
    <w:rsid w:val="00EC7DC4"/>
    <w:rsid w:val="00ED16B6"/>
    <w:rsid w:val="00EE32F2"/>
    <w:rsid w:val="00EE3C95"/>
    <w:rsid w:val="00EE4ECA"/>
    <w:rsid w:val="00EE624B"/>
    <w:rsid w:val="00EF0C35"/>
    <w:rsid w:val="00EF2A21"/>
    <w:rsid w:val="00F06D3B"/>
    <w:rsid w:val="00F105B2"/>
    <w:rsid w:val="00F113EE"/>
    <w:rsid w:val="00F12F3C"/>
    <w:rsid w:val="00F1339A"/>
    <w:rsid w:val="00F15F1D"/>
    <w:rsid w:val="00F27500"/>
    <w:rsid w:val="00F33D31"/>
    <w:rsid w:val="00F37318"/>
    <w:rsid w:val="00F45E3E"/>
    <w:rsid w:val="00F47F36"/>
    <w:rsid w:val="00F520E6"/>
    <w:rsid w:val="00F55EB8"/>
    <w:rsid w:val="00F6403F"/>
    <w:rsid w:val="00F71C87"/>
    <w:rsid w:val="00F72008"/>
    <w:rsid w:val="00F7583E"/>
    <w:rsid w:val="00F835B7"/>
    <w:rsid w:val="00F85024"/>
    <w:rsid w:val="00F9162C"/>
    <w:rsid w:val="00F96AA2"/>
    <w:rsid w:val="00F97325"/>
    <w:rsid w:val="00FA0B85"/>
    <w:rsid w:val="00FA742A"/>
    <w:rsid w:val="00FB2648"/>
    <w:rsid w:val="00FB2DFD"/>
    <w:rsid w:val="00FC2B19"/>
    <w:rsid w:val="00FC79F3"/>
    <w:rsid w:val="00FD731C"/>
    <w:rsid w:val="00FE0D13"/>
    <w:rsid w:val="00FE7EDF"/>
    <w:rsid w:val="00FF0483"/>
    <w:rsid w:val="00FF4797"/>
    <w:rsid w:val="00FF78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C8"/>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 ABNT"/>
    <w:basedOn w:val="Normal"/>
    <w:next w:val="Normal"/>
    <w:link w:val="Ttulo1Char"/>
    <w:uiPriority w:val="99"/>
    <w:qFormat/>
    <w:rsid w:val="002D07C8"/>
    <w:pPr>
      <w:keepNext/>
      <w:keepLines/>
      <w:numPr>
        <w:numId w:val="1"/>
      </w:numPr>
      <w:spacing w:before="360" w:after="360" w:line="360" w:lineRule="auto"/>
      <w:ind w:left="357" w:hanging="357"/>
      <w:jc w:val="both"/>
      <w:outlineLvl w:val="0"/>
    </w:pPr>
    <w:rPr>
      <w:rFonts w:eastAsia="Calibri"/>
      <w:b/>
      <w:sz w:val="28"/>
      <w:szCs w:val="22"/>
    </w:rPr>
  </w:style>
  <w:style w:type="paragraph" w:styleId="Ttulo2">
    <w:name w:val="heading 2"/>
    <w:aliases w:val="Título 2 - ABNT"/>
    <w:basedOn w:val="Normal"/>
    <w:next w:val="Normal"/>
    <w:link w:val="Ttulo2Char"/>
    <w:uiPriority w:val="99"/>
    <w:qFormat/>
    <w:rsid w:val="002D07C8"/>
    <w:pPr>
      <w:keepNext/>
      <w:keepLines/>
      <w:numPr>
        <w:ilvl w:val="1"/>
        <w:numId w:val="1"/>
      </w:numPr>
      <w:spacing w:before="360" w:after="360" w:line="360" w:lineRule="auto"/>
      <w:ind w:left="357" w:hanging="357"/>
      <w:jc w:val="both"/>
      <w:outlineLvl w:val="1"/>
    </w:pPr>
    <w:rPr>
      <w:rFonts w:eastAsia="Calibri"/>
      <w:b/>
      <w:szCs w:val="22"/>
      <w:shd w:val="clear" w:color="auto" w:fill="FFFFFF"/>
    </w:rPr>
  </w:style>
  <w:style w:type="paragraph" w:styleId="Ttulo3">
    <w:name w:val="heading 3"/>
    <w:aliases w:val="Título 3 - ABNT"/>
    <w:basedOn w:val="Normal"/>
    <w:next w:val="Normal"/>
    <w:link w:val="Ttulo3Char"/>
    <w:uiPriority w:val="99"/>
    <w:qFormat/>
    <w:rsid w:val="002D07C8"/>
    <w:pPr>
      <w:keepNext/>
      <w:keepLines/>
      <w:numPr>
        <w:ilvl w:val="2"/>
        <w:numId w:val="1"/>
      </w:numPr>
      <w:spacing w:before="360" w:after="360" w:line="360" w:lineRule="auto"/>
      <w:ind w:left="357" w:hanging="357"/>
      <w:jc w:val="both"/>
      <w:outlineLvl w:val="2"/>
    </w:pPr>
    <w:rPr>
      <w:rFonts w:eastAsia="Calibri"/>
      <w:b/>
    </w:rPr>
  </w:style>
  <w:style w:type="paragraph" w:styleId="Ttulo4">
    <w:name w:val="heading 4"/>
    <w:aliases w:val="Título 4 - ABNT"/>
    <w:basedOn w:val="Normal"/>
    <w:next w:val="Normal"/>
    <w:link w:val="Ttulo4Char"/>
    <w:uiPriority w:val="99"/>
    <w:qFormat/>
    <w:rsid w:val="002D07C8"/>
    <w:pPr>
      <w:keepNext/>
      <w:keepLines/>
      <w:numPr>
        <w:ilvl w:val="3"/>
        <w:numId w:val="1"/>
      </w:numPr>
      <w:spacing w:before="360" w:after="360" w:line="360" w:lineRule="auto"/>
      <w:ind w:left="357" w:hanging="357"/>
      <w:jc w:val="both"/>
      <w:outlineLvl w:val="3"/>
    </w:pPr>
    <w:rPr>
      <w:rFonts w:eastAsia="Calibri"/>
      <w:b/>
      <w:bCs/>
    </w:rPr>
  </w:style>
  <w:style w:type="paragraph" w:styleId="Ttulo5">
    <w:name w:val="heading 5"/>
    <w:aliases w:val="Título 5 - ABNT"/>
    <w:basedOn w:val="Normal"/>
    <w:next w:val="Normal"/>
    <w:link w:val="Ttulo5Char"/>
    <w:uiPriority w:val="99"/>
    <w:qFormat/>
    <w:rsid w:val="002D07C8"/>
    <w:pPr>
      <w:keepNext/>
      <w:keepLines/>
      <w:numPr>
        <w:ilvl w:val="4"/>
        <w:numId w:val="1"/>
      </w:numPr>
      <w:spacing w:before="360" w:after="360" w:line="360" w:lineRule="auto"/>
      <w:ind w:left="357" w:hanging="357"/>
      <w:jc w:val="both"/>
      <w:outlineLvl w:val="4"/>
    </w:pPr>
    <w:rPr>
      <w:rFonts w:eastAsia="Calibri"/>
      <w:b/>
      <w:szCs w:val="22"/>
    </w:rPr>
  </w:style>
  <w:style w:type="paragraph" w:styleId="Ttulo6">
    <w:name w:val="heading 6"/>
    <w:aliases w:val="Título 6 - ABNT"/>
    <w:basedOn w:val="Normal"/>
    <w:next w:val="Normal"/>
    <w:link w:val="Ttulo6Char"/>
    <w:uiPriority w:val="99"/>
    <w:qFormat/>
    <w:rsid w:val="002D07C8"/>
    <w:pPr>
      <w:keepNext/>
      <w:keepLines/>
      <w:numPr>
        <w:ilvl w:val="5"/>
        <w:numId w:val="1"/>
      </w:numPr>
      <w:spacing w:before="360" w:after="360" w:line="360" w:lineRule="auto"/>
      <w:ind w:left="357" w:hanging="357"/>
      <w:jc w:val="both"/>
      <w:outlineLvl w:val="5"/>
    </w:pPr>
    <w:rPr>
      <w:rFonts w:eastAsia="Calibri"/>
      <w:b/>
      <w:iCs/>
      <w:szCs w:val="22"/>
    </w:rPr>
  </w:style>
  <w:style w:type="paragraph" w:styleId="Ttulo7">
    <w:name w:val="heading 7"/>
    <w:basedOn w:val="Normal"/>
    <w:next w:val="Normal"/>
    <w:link w:val="Ttulo7Char"/>
    <w:uiPriority w:val="99"/>
    <w:qFormat/>
    <w:rsid w:val="002D07C8"/>
    <w:pPr>
      <w:keepNext/>
      <w:keepLines/>
      <w:numPr>
        <w:ilvl w:val="6"/>
        <w:numId w:val="1"/>
      </w:numPr>
      <w:spacing w:before="200"/>
      <w:jc w:val="both"/>
      <w:outlineLvl w:val="6"/>
    </w:pPr>
    <w:rPr>
      <w:rFonts w:ascii="Cambria" w:eastAsia="Calibri" w:hAnsi="Cambria"/>
      <w:i/>
      <w:iCs/>
      <w:color w:val="404040"/>
      <w:sz w:val="22"/>
      <w:szCs w:val="22"/>
    </w:rPr>
  </w:style>
  <w:style w:type="paragraph" w:styleId="Ttulo8">
    <w:name w:val="heading 8"/>
    <w:basedOn w:val="Normal"/>
    <w:next w:val="Normal"/>
    <w:link w:val="Ttulo8Char"/>
    <w:uiPriority w:val="99"/>
    <w:qFormat/>
    <w:rsid w:val="002D07C8"/>
    <w:pPr>
      <w:keepNext/>
      <w:keepLines/>
      <w:numPr>
        <w:ilvl w:val="7"/>
        <w:numId w:val="1"/>
      </w:numPr>
      <w:spacing w:before="200"/>
      <w:jc w:val="both"/>
      <w:outlineLvl w:val="7"/>
    </w:pPr>
    <w:rPr>
      <w:rFonts w:ascii="Cambria" w:eastAsia="Calibri" w:hAnsi="Cambria"/>
      <w:color w:val="404040"/>
      <w:sz w:val="20"/>
      <w:szCs w:val="20"/>
    </w:rPr>
  </w:style>
  <w:style w:type="paragraph" w:styleId="Ttulo9">
    <w:name w:val="heading 9"/>
    <w:basedOn w:val="Normal"/>
    <w:next w:val="Normal"/>
    <w:link w:val="Ttulo9Char"/>
    <w:uiPriority w:val="99"/>
    <w:qFormat/>
    <w:rsid w:val="002D07C8"/>
    <w:pPr>
      <w:keepNext/>
      <w:keepLines/>
      <w:numPr>
        <w:ilvl w:val="8"/>
        <w:numId w:val="1"/>
      </w:numPr>
      <w:spacing w:before="200"/>
      <w:jc w:val="both"/>
      <w:outlineLvl w:val="8"/>
    </w:pPr>
    <w:rPr>
      <w:rFonts w:ascii="Cambria" w:eastAsia="Calibri"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ABNT Char"/>
    <w:basedOn w:val="Fontepargpadro"/>
    <w:link w:val="Ttulo1"/>
    <w:uiPriority w:val="99"/>
    <w:rsid w:val="002D07C8"/>
    <w:rPr>
      <w:rFonts w:ascii="Times New Roman" w:eastAsia="Calibri" w:hAnsi="Times New Roman" w:cs="Times New Roman"/>
      <w:b/>
      <w:sz w:val="28"/>
      <w:lang w:eastAsia="pt-BR"/>
    </w:rPr>
  </w:style>
  <w:style w:type="character" w:customStyle="1" w:styleId="Ttulo2Char">
    <w:name w:val="Título 2 Char"/>
    <w:aliases w:val="Título 2 - ABNT Char"/>
    <w:basedOn w:val="Fontepargpadro"/>
    <w:link w:val="Ttulo2"/>
    <w:uiPriority w:val="99"/>
    <w:rsid w:val="002D07C8"/>
    <w:rPr>
      <w:rFonts w:ascii="Times New Roman" w:eastAsia="Calibri" w:hAnsi="Times New Roman" w:cs="Times New Roman"/>
      <w:b/>
      <w:sz w:val="24"/>
      <w:lang w:eastAsia="pt-BR"/>
    </w:rPr>
  </w:style>
  <w:style w:type="character" w:customStyle="1" w:styleId="Ttulo3Char">
    <w:name w:val="Título 3 Char"/>
    <w:aliases w:val="Título 3 - ABNT Char"/>
    <w:basedOn w:val="Fontepargpadro"/>
    <w:link w:val="Ttulo3"/>
    <w:uiPriority w:val="99"/>
    <w:rsid w:val="002D07C8"/>
    <w:rPr>
      <w:rFonts w:ascii="Times New Roman" w:eastAsia="Calibri" w:hAnsi="Times New Roman" w:cs="Times New Roman"/>
      <w:b/>
      <w:sz w:val="24"/>
      <w:szCs w:val="24"/>
      <w:lang w:eastAsia="pt-BR"/>
    </w:rPr>
  </w:style>
  <w:style w:type="character" w:customStyle="1" w:styleId="Ttulo4Char">
    <w:name w:val="Título 4 Char"/>
    <w:aliases w:val="Título 4 - ABNT Char"/>
    <w:basedOn w:val="Fontepargpadro"/>
    <w:link w:val="Ttulo4"/>
    <w:uiPriority w:val="99"/>
    <w:rsid w:val="002D07C8"/>
    <w:rPr>
      <w:rFonts w:ascii="Times New Roman" w:eastAsia="Calibri" w:hAnsi="Times New Roman" w:cs="Times New Roman"/>
      <w:b/>
      <w:bCs/>
      <w:sz w:val="24"/>
      <w:szCs w:val="24"/>
      <w:lang w:eastAsia="pt-BR"/>
    </w:rPr>
  </w:style>
  <w:style w:type="character" w:customStyle="1" w:styleId="Ttulo5Char">
    <w:name w:val="Título 5 Char"/>
    <w:aliases w:val="Título 5 - ABNT Char"/>
    <w:basedOn w:val="Fontepargpadro"/>
    <w:link w:val="Ttulo5"/>
    <w:uiPriority w:val="99"/>
    <w:rsid w:val="002D07C8"/>
    <w:rPr>
      <w:rFonts w:ascii="Times New Roman" w:eastAsia="Calibri" w:hAnsi="Times New Roman" w:cs="Times New Roman"/>
      <w:b/>
      <w:sz w:val="24"/>
      <w:lang w:eastAsia="pt-BR"/>
    </w:rPr>
  </w:style>
  <w:style w:type="character" w:customStyle="1" w:styleId="Ttulo6Char">
    <w:name w:val="Título 6 Char"/>
    <w:aliases w:val="Título 6 - ABNT Char"/>
    <w:basedOn w:val="Fontepargpadro"/>
    <w:link w:val="Ttulo6"/>
    <w:uiPriority w:val="99"/>
    <w:rsid w:val="002D07C8"/>
    <w:rPr>
      <w:rFonts w:ascii="Times New Roman" w:eastAsia="Calibri" w:hAnsi="Times New Roman" w:cs="Times New Roman"/>
      <w:b/>
      <w:iCs/>
      <w:sz w:val="24"/>
      <w:lang w:eastAsia="pt-BR"/>
    </w:rPr>
  </w:style>
  <w:style w:type="character" w:customStyle="1" w:styleId="Ttulo7Char">
    <w:name w:val="Título 7 Char"/>
    <w:basedOn w:val="Fontepargpadro"/>
    <w:link w:val="Ttulo7"/>
    <w:uiPriority w:val="99"/>
    <w:rsid w:val="002D07C8"/>
    <w:rPr>
      <w:rFonts w:ascii="Cambria" w:eastAsia="Calibri" w:hAnsi="Cambria" w:cs="Times New Roman"/>
      <w:i/>
      <w:iCs/>
      <w:color w:val="404040"/>
      <w:lang w:eastAsia="pt-BR"/>
    </w:rPr>
  </w:style>
  <w:style w:type="character" w:customStyle="1" w:styleId="Ttulo8Char">
    <w:name w:val="Título 8 Char"/>
    <w:basedOn w:val="Fontepargpadro"/>
    <w:link w:val="Ttulo8"/>
    <w:uiPriority w:val="99"/>
    <w:rsid w:val="002D07C8"/>
    <w:rPr>
      <w:rFonts w:ascii="Cambria" w:eastAsia="Calibri" w:hAnsi="Cambria" w:cs="Times New Roman"/>
      <w:color w:val="404040"/>
      <w:sz w:val="20"/>
      <w:szCs w:val="20"/>
      <w:lang w:eastAsia="pt-BR"/>
    </w:rPr>
  </w:style>
  <w:style w:type="character" w:customStyle="1" w:styleId="Ttulo9Char">
    <w:name w:val="Título 9 Char"/>
    <w:basedOn w:val="Fontepargpadro"/>
    <w:link w:val="Ttulo9"/>
    <w:uiPriority w:val="99"/>
    <w:rsid w:val="002D07C8"/>
    <w:rPr>
      <w:rFonts w:ascii="Cambria" w:eastAsia="Calibri" w:hAnsi="Cambria" w:cs="Times New Roman"/>
      <w:i/>
      <w:iCs/>
      <w:color w:val="404040"/>
      <w:sz w:val="20"/>
      <w:szCs w:val="20"/>
      <w:lang w:eastAsia="pt-BR"/>
    </w:rPr>
  </w:style>
  <w:style w:type="paragraph" w:styleId="Textodenotaderodap">
    <w:name w:val="footnote text"/>
    <w:basedOn w:val="Normal"/>
    <w:link w:val="TextodenotaderodapChar"/>
    <w:uiPriority w:val="99"/>
    <w:rsid w:val="002D07C8"/>
    <w:pPr>
      <w:jc w:val="both"/>
    </w:pPr>
    <w:rPr>
      <w:rFonts w:ascii="Calibri" w:hAnsi="Calibri"/>
      <w:sz w:val="20"/>
      <w:szCs w:val="20"/>
      <w:lang w:eastAsia="en-US"/>
    </w:rPr>
  </w:style>
  <w:style w:type="character" w:customStyle="1" w:styleId="TextodenotaderodapChar">
    <w:name w:val="Texto de nota de rodapé Char"/>
    <w:basedOn w:val="Fontepargpadro"/>
    <w:link w:val="Textodenotaderodap"/>
    <w:uiPriority w:val="99"/>
    <w:rsid w:val="002D07C8"/>
    <w:rPr>
      <w:rFonts w:ascii="Calibri" w:eastAsia="Times New Roman" w:hAnsi="Calibri" w:cs="Times New Roman"/>
      <w:sz w:val="20"/>
      <w:szCs w:val="20"/>
    </w:rPr>
  </w:style>
  <w:style w:type="character" w:styleId="Refdenotaderodap">
    <w:name w:val="footnote reference"/>
    <w:semiHidden/>
    <w:rsid w:val="002D07C8"/>
    <w:rPr>
      <w:rFonts w:cs="Times New Roman"/>
      <w:vertAlign w:val="superscript"/>
    </w:rPr>
  </w:style>
  <w:style w:type="paragraph" w:customStyle="1" w:styleId="SemEspaamento1">
    <w:name w:val="Sem Espaçamento1"/>
    <w:uiPriority w:val="99"/>
    <w:rsid w:val="002D07C8"/>
    <w:pPr>
      <w:spacing w:after="0" w:line="240" w:lineRule="auto"/>
    </w:pPr>
    <w:rPr>
      <w:rFonts w:ascii="Calibri" w:eastAsia="Times New Roman" w:hAnsi="Calibri" w:cs="Times New Roman"/>
    </w:rPr>
  </w:style>
  <w:style w:type="paragraph" w:styleId="NormalWeb">
    <w:name w:val="Normal (Web)"/>
    <w:basedOn w:val="Normal"/>
    <w:uiPriority w:val="99"/>
    <w:rsid w:val="002D07C8"/>
    <w:pPr>
      <w:spacing w:before="100" w:beforeAutospacing="1" w:after="100" w:afterAutospacing="1"/>
    </w:pPr>
    <w:rPr>
      <w:rFonts w:eastAsia="Calibri"/>
    </w:rPr>
  </w:style>
  <w:style w:type="paragraph" w:customStyle="1" w:styleId="PargrafodaLista1">
    <w:name w:val="Parágrafo da Lista1"/>
    <w:basedOn w:val="Normal"/>
    <w:uiPriority w:val="99"/>
    <w:rsid w:val="002D07C8"/>
    <w:pPr>
      <w:spacing w:after="200" w:line="276" w:lineRule="auto"/>
      <w:ind w:left="720"/>
      <w:contextualSpacing/>
    </w:pPr>
    <w:rPr>
      <w:rFonts w:ascii="Calibri" w:hAnsi="Calibri"/>
      <w:sz w:val="22"/>
      <w:szCs w:val="22"/>
      <w:lang w:eastAsia="en-US"/>
    </w:rPr>
  </w:style>
  <w:style w:type="character" w:styleId="Hyperlink">
    <w:name w:val="Hyperlink"/>
    <w:uiPriority w:val="99"/>
    <w:rsid w:val="002D07C8"/>
    <w:rPr>
      <w:rFonts w:cs="Times New Roman"/>
      <w:color w:val="0000FF"/>
      <w:u w:val="single"/>
    </w:rPr>
  </w:style>
  <w:style w:type="character" w:styleId="Forte">
    <w:name w:val="Strong"/>
    <w:uiPriority w:val="22"/>
    <w:qFormat/>
    <w:rsid w:val="002D07C8"/>
    <w:rPr>
      <w:rFonts w:cs="Times New Roman"/>
      <w:b/>
      <w:bCs/>
    </w:rPr>
  </w:style>
  <w:style w:type="character" w:customStyle="1" w:styleId="apple-converted-space">
    <w:name w:val="apple-converted-space"/>
    <w:uiPriority w:val="99"/>
    <w:rsid w:val="002D07C8"/>
    <w:rPr>
      <w:rFonts w:cs="Times New Roman"/>
    </w:rPr>
  </w:style>
  <w:style w:type="character" w:styleId="nfase">
    <w:name w:val="Emphasis"/>
    <w:uiPriority w:val="20"/>
    <w:qFormat/>
    <w:rsid w:val="002D07C8"/>
    <w:rPr>
      <w:rFonts w:cs="Times New Roman"/>
      <w:i/>
      <w:iCs/>
    </w:rPr>
  </w:style>
  <w:style w:type="paragraph" w:styleId="PargrafodaLista">
    <w:name w:val="List Paragraph"/>
    <w:basedOn w:val="Normal"/>
    <w:uiPriority w:val="99"/>
    <w:qFormat/>
    <w:rsid w:val="002D07C8"/>
    <w:pPr>
      <w:spacing w:after="200" w:line="276" w:lineRule="auto"/>
      <w:ind w:left="720"/>
      <w:contextualSpacing/>
    </w:pPr>
    <w:rPr>
      <w:rFonts w:ascii="Calibri" w:eastAsia="Calibri" w:hAnsi="Calibri"/>
      <w:sz w:val="22"/>
      <w:szCs w:val="22"/>
      <w:lang w:eastAsia="en-US"/>
    </w:rPr>
  </w:style>
  <w:style w:type="character" w:customStyle="1" w:styleId="A12">
    <w:name w:val="A12"/>
    <w:uiPriority w:val="99"/>
    <w:rsid w:val="002D07C8"/>
    <w:rPr>
      <w:color w:val="000000"/>
      <w:sz w:val="17"/>
    </w:rPr>
  </w:style>
  <w:style w:type="character" w:customStyle="1" w:styleId="A9">
    <w:name w:val="A9"/>
    <w:uiPriority w:val="99"/>
    <w:rsid w:val="002D07C8"/>
    <w:rPr>
      <w:color w:val="000000"/>
      <w:sz w:val="19"/>
    </w:rPr>
  </w:style>
  <w:style w:type="paragraph" w:customStyle="1" w:styleId="Pa10">
    <w:name w:val="Pa10"/>
    <w:basedOn w:val="Normal"/>
    <w:next w:val="Normal"/>
    <w:uiPriority w:val="99"/>
    <w:rsid w:val="002D07C8"/>
    <w:pPr>
      <w:autoSpaceDE w:val="0"/>
      <w:autoSpaceDN w:val="0"/>
      <w:adjustRightInd w:val="0"/>
      <w:spacing w:line="241" w:lineRule="atLeast"/>
    </w:pPr>
    <w:rPr>
      <w:rFonts w:ascii="ITCOfficinaSans LT Book" w:eastAsia="Calibri" w:hAnsi="ITCOfficinaSans LT Book"/>
      <w:lang w:eastAsia="en-US"/>
    </w:rPr>
  </w:style>
  <w:style w:type="paragraph" w:styleId="SemEspaamento">
    <w:name w:val="No Spacing"/>
    <w:uiPriority w:val="99"/>
    <w:qFormat/>
    <w:rsid w:val="002D07C8"/>
    <w:pPr>
      <w:spacing w:after="0" w:line="240" w:lineRule="auto"/>
    </w:pPr>
    <w:rPr>
      <w:rFonts w:ascii="Calibri" w:eastAsia="Calibri" w:hAnsi="Calibri" w:cs="Times New Roman"/>
    </w:rPr>
  </w:style>
  <w:style w:type="paragraph" w:customStyle="1" w:styleId="Default">
    <w:name w:val="Default"/>
    <w:rsid w:val="002D07C8"/>
    <w:pPr>
      <w:autoSpaceDE w:val="0"/>
      <w:autoSpaceDN w:val="0"/>
      <w:adjustRightInd w:val="0"/>
      <w:spacing w:after="0" w:line="240" w:lineRule="auto"/>
    </w:pPr>
    <w:rPr>
      <w:rFonts w:ascii="Arial" w:eastAsia="Calibri" w:hAnsi="Arial" w:cs="Arial"/>
      <w:color w:val="000000"/>
      <w:sz w:val="24"/>
      <w:szCs w:val="24"/>
    </w:rPr>
  </w:style>
  <w:style w:type="paragraph" w:styleId="Textodebalo">
    <w:name w:val="Balloon Text"/>
    <w:basedOn w:val="Normal"/>
    <w:link w:val="TextodebaloChar"/>
    <w:uiPriority w:val="99"/>
    <w:semiHidden/>
    <w:rsid w:val="002D07C8"/>
    <w:rPr>
      <w:rFonts w:ascii="Tahoma" w:hAnsi="Tahoma" w:cs="Tahoma"/>
      <w:sz w:val="16"/>
      <w:szCs w:val="16"/>
    </w:rPr>
  </w:style>
  <w:style w:type="character" w:customStyle="1" w:styleId="TextodebaloChar">
    <w:name w:val="Texto de balão Char"/>
    <w:basedOn w:val="Fontepargpadro"/>
    <w:link w:val="Textodebalo"/>
    <w:uiPriority w:val="99"/>
    <w:semiHidden/>
    <w:rsid w:val="002D07C8"/>
    <w:rPr>
      <w:rFonts w:ascii="Tahoma" w:eastAsia="Times New Roman" w:hAnsi="Tahoma" w:cs="Tahoma"/>
      <w:sz w:val="16"/>
      <w:szCs w:val="16"/>
      <w:lang w:eastAsia="pt-BR"/>
    </w:rPr>
  </w:style>
  <w:style w:type="character" w:customStyle="1" w:styleId="A6">
    <w:name w:val="A6"/>
    <w:uiPriority w:val="99"/>
    <w:rsid w:val="002D07C8"/>
    <w:rPr>
      <w:color w:val="000000"/>
      <w:sz w:val="19"/>
    </w:rPr>
  </w:style>
  <w:style w:type="paragraph" w:styleId="Legenda">
    <w:name w:val="caption"/>
    <w:basedOn w:val="Normal"/>
    <w:next w:val="Normal"/>
    <w:uiPriority w:val="35"/>
    <w:qFormat/>
    <w:rsid w:val="002D07C8"/>
    <w:pPr>
      <w:spacing w:after="200"/>
    </w:pPr>
    <w:rPr>
      <w:b/>
      <w:bCs/>
      <w:color w:val="4F81BD"/>
      <w:sz w:val="18"/>
      <w:szCs w:val="18"/>
    </w:rPr>
  </w:style>
  <w:style w:type="character" w:styleId="HiperlinkVisitado">
    <w:name w:val="FollowedHyperlink"/>
    <w:uiPriority w:val="99"/>
    <w:semiHidden/>
    <w:rsid w:val="002D07C8"/>
    <w:rPr>
      <w:rFonts w:cs="Times New Roman"/>
      <w:color w:val="800080"/>
      <w:u w:val="single"/>
    </w:rPr>
  </w:style>
  <w:style w:type="paragraph" w:customStyle="1" w:styleId="SemEspaamento2">
    <w:name w:val="Sem Espaçamento2"/>
    <w:uiPriority w:val="99"/>
    <w:rsid w:val="002D07C8"/>
    <w:pPr>
      <w:spacing w:after="0" w:line="240" w:lineRule="auto"/>
    </w:pPr>
    <w:rPr>
      <w:rFonts w:ascii="Calibri" w:eastAsia="Times New Roman" w:hAnsi="Calibri" w:cs="Times New Roman"/>
    </w:rPr>
  </w:style>
  <w:style w:type="paragraph" w:styleId="Cabealho">
    <w:name w:val="header"/>
    <w:basedOn w:val="Normal"/>
    <w:link w:val="CabealhoChar"/>
    <w:uiPriority w:val="99"/>
    <w:rsid w:val="002D07C8"/>
    <w:pPr>
      <w:tabs>
        <w:tab w:val="center" w:pos="4252"/>
        <w:tab w:val="right" w:pos="8504"/>
      </w:tabs>
    </w:pPr>
  </w:style>
  <w:style w:type="character" w:customStyle="1" w:styleId="CabealhoChar">
    <w:name w:val="Cabeçalho Char"/>
    <w:basedOn w:val="Fontepargpadro"/>
    <w:link w:val="Cabealho"/>
    <w:uiPriority w:val="99"/>
    <w:rsid w:val="002D07C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D07C8"/>
    <w:pPr>
      <w:tabs>
        <w:tab w:val="center" w:pos="4252"/>
        <w:tab w:val="right" w:pos="8504"/>
      </w:tabs>
    </w:pPr>
  </w:style>
  <w:style w:type="character" w:customStyle="1" w:styleId="RodapChar">
    <w:name w:val="Rodapé Char"/>
    <w:basedOn w:val="Fontepargpadro"/>
    <w:link w:val="Rodap"/>
    <w:uiPriority w:val="99"/>
    <w:rsid w:val="002D07C8"/>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rsid w:val="002D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2D07C8"/>
    <w:rPr>
      <w:rFonts w:ascii="Courier New" w:eastAsia="Times New Roman" w:hAnsi="Courier New" w:cs="Courier New"/>
      <w:sz w:val="20"/>
      <w:szCs w:val="20"/>
      <w:lang w:eastAsia="pt-BR"/>
    </w:rPr>
  </w:style>
  <w:style w:type="paragraph" w:customStyle="1" w:styleId="Pa2">
    <w:name w:val="Pa2"/>
    <w:basedOn w:val="Default"/>
    <w:next w:val="Default"/>
    <w:uiPriority w:val="99"/>
    <w:rsid w:val="002D07C8"/>
    <w:pPr>
      <w:spacing w:line="251" w:lineRule="atLeast"/>
    </w:pPr>
    <w:rPr>
      <w:rFonts w:ascii="Minion Bold" w:hAnsi="Minion Bold" w:cs="Times New Roman"/>
      <w:color w:val="auto"/>
    </w:rPr>
  </w:style>
  <w:style w:type="paragraph" w:customStyle="1" w:styleId="Pa6">
    <w:name w:val="Pa6"/>
    <w:basedOn w:val="Default"/>
    <w:next w:val="Default"/>
    <w:uiPriority w:val="99"/>
    <w:rsid w:val="002D07C8"/>
    <w:pPr>
      <w:spacing w:line="181" w:lineRule="atLeast"/>
    </w:pPr>
    <w:rPr>
      <w:rFonts w:ascii="Formata Light" w:hAnsi="Formata Light" w:cs="Times New Roman"/>
      <w:color w:val="auto"/>
    </w:rPr>
  </w:style>
  <w:style w:type="paragraph" w:customStyle="1" w:styleId="Pa9">
    <w:name w:val="Pa9"/>
    <w:basedOn w:val="Default"/>
    <w:next w:val="Default"/>
    <w:uiPriority w:val="99"/>
    <w:rsid w:val="002D07C8"/>
    <w:pPr>
      <w:spacing w:line="181" w:lineRule="atLeast"/>
    </w:pPr>
    <w:rPr>
      <w:rFonts w:ascii="Formata Light" w:hAnsi="Formata Light" w:cs="Times New Roman"/>
      <w:color w:val="auto"/>
    </w:rPr>
  </w:style>
  <w:style w:type="paragraph" w:customStyle="1" w:styleId="Pa8">
    <w:name w:val="Pa8"/>
    <w:basedOn w:val="Default"/>
    <w:next w:val="Default"/>
    <w:uiPriority w:val="99"/>
    <w:rsid w:val="002D07C8"/>
    <w:pPr>
      <w:spacing w:line="181" w:lineRule="atLeast"/>
    </w:pPr>
    <w:rPr>
      <w:rFonts w:ascii="Formata Light" w:hAnsi="Formata Light" w:cs="Times New Roman"/>
      <w:color w:val="auto"/>
    </w:rPr>
  </w:style>
  <w:style w:type="paragraph" w:customStyle="1" w:styleId="Pa11">
    <w:name w:val="Pa11"/>
    <w:basedOn w:val="Default"/>
    <w:next w:val="Default"/>
    <w:uiPriority w:val="99"/>
    <w:rsid w:val="002D07C8"/>
    <w:pPr>
      <w:spacing w:line="221" w:lineRule="atLeast"/>
    </w:pPr>
    <w:rPr>
      <w:rFonts w:ascii="Formata Light" w:hAnsi="Formata Light" w:cs="Times New Roman"/>
      <w:color w:val="auto"/>
    </w:rPr>
  </w:style>
  <w:style w:type="paragraph" w:customStyle="1" w:styleId="Pa12">
    <w:name w:val="Pa12"/>
    <w:basedOn w:val="Default"/>
    <w:next w:val="Default"/>
    <w:uiPriority w:val="99"/>
    <w:rsid w:val="002D07C8"/>
    <w:pPr>
      <w:spacing w:line="221" w:lineRule="atLeast"/>
    </w:pPr>
    <w:rPr>
      <w:rFonts w:ascii="Formata Light" w:hAnsi="Formata Light" w:cs="Times New Roman"/>
      <w:color w:val="auto"/>
    </w:rPr>
  </w:style>
  <w:style w:type="paragraph" w:customStyle="1" w:styleId="Pa3">
    <w:name w:val="Pa3"/>
    <w:basedOn w:val="Default"/>
    <w:next w:val="Default"/>
    <w:uiPriority w:val="99"/>
    <w:rsid w:val="002D07C8"/>
    <w:pPr>
      <w:spacing w:line="181" w:lineRule="atLeast"/>
    </w:pPr>
    <w:rPr>
      <w:rFonts w:ascii="Formata Light" w:hAnsi="Formata Light" w:cs="Times New Roman"/>
      <w:color w:val="auto"/>
    </w:rPr>
  </w:style>
  <w:style w:type="character" w:customStyle="1" w:styleId="A7">
    <w:name w:val="A7"/>
    <w:uiPriority w:val="99"/>
    <w:rsid w:val="002D07C8"/>
    <w:rPr>
      <w:color w:val="000000"/>
      <w:sz w:val="18"/>
    </w:rPr>
  </w:style>
  <w:style w:type="character" w:customStyle="1" w:styleId="A8">
    <w:name w:val="A8"/>
    <w:uiPriority w:val="99"/>
    <w:rsid w:val="002D07C8"/>
    <w:rPr>
      <w:color w:val="000000"/>
      <w:sz w:val="10"/>
    </w:rPr>
  </w:style>
  <w:style w:type="character" w:customStyle="1" w:styleId="A1">
    <w:name w:val="A1"/>
    <w:uiPriority w:val="99"/>
    <w:rsid w:val="002D07C8"/>
    <w:rPr>
      <w:color w:val="000000"/>
      <w:sz w:val="16"/>
    </w:rPr>
  </w:style>
  <w:style w:type="character" w:customStyle="1" w:styleId="A3">
    <w:name w:val="A3"/>
    <w:uiPriority w:val="99"/>
    <w:rsid w:val="002D07C8"/>
    <w:rPr>
      <w:color w:val="000000"/>
      <w:sz w:val="36"/>
    </w:rPr>
  </w:style>
  <w:style w:type="paragraph" w:styleId="Reviso">
    <w:name w:val="Revision"/>
    <w:hidden/>
    <w:uiPriority w:val="99"/>
    <w:semiHidden/>
    <w:rsid w:val="002D07C8"/>
    <w:pPr>
      <w:spacing w:after="0" w:line="240" w:lineRule="auto"/>
    </w:pPr>
    <w:rPr>
      <w:rFonts w:ascii="Calibri" w:eastAsia="Calibri" w:hAnsi="Calibri" w:cs="Times New Roman"/>
    </w:rPr>
  </w:style>
  <w:style w:type="table" w:customStyle="1" w:styleId="SombreamentoClaro1">
    <w:name w:val="Sombreamento Claro1"/>
    <w:uiPriority w:val="99"/>
    <w:rsid w:val="002D07C8"/>
    <w:pPr>
      <w:spacing w:after="0" w:line="240" w:lineRule="auto"/>
    </w:pPr>
    <w:rPr>
      <w:rFonts w:ascii="Calibri" w:eastAsia="Calibri"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2D07C8"/>
    <w:rPr>
      <w:sz w:val="16"/>
      <w:szCs w:val="16"/>
    </w:rPr>
  </w:style>
  <w:style w:type="paragraph" w:styleId="Textodecomentrio">
    <w:name w:val="annotation text"/>
    <w:basedOn w:val="Normal"/>
    <w:link w:val="TextodecomentrioChar"/>
    <w:uiPriority w:val="99"/>
    <w:semiHidden/>
    <w:unhideWhenUsed/>
    <w:rsid w:val="002D07C8"/>
    <w:rPr>
      <w:sz w:val="20"/>
      <w:szCs w:val="20"/>
    </w:rPr>
  </w:style>
  <w:style w:type="character" w:customStyle="1" w:styleId="TextodecomentrioChar">
    <w:name w:val="Texto de comentário Char"/>
    <w:basedOn w:val="Fontepargpadro"/>
    <w:link w:val="Textodecomentrio"/>
    <w:uiPriority w:val="99"/>
    <w:semiHidden/>
    <w:rsid w:val="002D07C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D07C8"/>
    <w:rPr>
      <w:b/>
      <w:bCs/>
    </w:rPr>
  </w:style>
  <w:style w:type="character" w:customStyle="1" w:styleId="AssuntodocomentrioChar">
    <w:name w:val="Assunto do comentário Char"/>
    <w:basedOn w:val="TextodecomentrioChar"/>
    <w:link w:val="Assuntodocomentrio"/>
    <w:uiPriority w:val="99"/>
    <w:semiHidden/>
    <w:rsid w:val="002D07C8"/>
    <w:rPr>
      <w:rFonts w:ascii="Times New Roman" w:eastAsia="Times New Roman" w:hAnsi="Times New Roman" w:cs="Times New Roman"/>
      <w:b/>
      <w:bCs/>
      <w:sz w:val="20"/>
      <w:szCs w:val="20"/>
      <w:lang w:eastAsia="pt-BR"/>
    </w:rPr>
  </w:style>
  <w:style w:type="character" w:customStyle="1" w:styleId="apple-tab-span">
    <w:name w:val="apple-tab-span"/>
    <w:basedOn w:val="Fontepargpadro"/>
    <w:rsid w:val="002D07C8"/>
  </w:style>
  <w:style w:type="character" w:customStyle="1" w:styleId="familyname">
    <w:name w:val="familyname"/>
    <w:basedOn w:val="Fontepargpadro"/>
    <w:rsid w:val="002D07C8"/>
  </w:style>
  <w:style w:type="character" w:customStyle="1" w:styleId="textosinternos">
    <w:name w:val="textosinternos"/>
    <w:basedOn w:val="Fontepargpadro"/>
    <w:rsid w:val="0040454A"/>
  </w:style>
</w:styles>
</file>

<file path=word/webSettings.xml><?xml version="1.0" encoding="utf-8"?>
<w:webSettings xmlns:r="http://schemas.openxmlformats.org/officeDocument/2006/relationships" xmlns:w="http://schemas.openxmlformats.org/wordprocessingml/2006/main">
  <w:divs>
    <w:div w:id="33240001">
      <w:bodyDiv w:val="1"/>
      <w:marLeft w:val="0"/>
      <w:marRight w:val="0"/>
      <w:marTop w:val="0"/>
      <w:marBottom w:val="0"/>
      <w:divBdr>
        <w:top w:val="none" w:sz="0" w:space="0" w:color="auto"/>
        <w:left w:val="none" w:sz="0" w:space="0" w:color="auto"/>
        <w:bottom w:val="none" w:sz="0" w:space="0" w:color="auto"/>
        <w:right w:val="none" w:sz="0" w:space="0" w:color="auto"/>
      </w:divBdr>
      <w:divsChild>
        <w:div w:id="1874346964">
          <w:marLeft w:val="0"/>
          <w:marRight w:val="0"/>
          <w:marTop w:val="0"/>
          <w:marBottom w:val="0"/>
          <w:divBdr>
            <w:top w:val="none" w:sz="0" w:space="0" w:color="auto"/>
            <w:left w:val="none" w:sz="0" w:space="0" w:color="auto"/>
            <w:bottom w:val="none" w:sz="0" w:space="0" w:color="auto"/>
            <w:right w:val="none" w:sz="0" w:space="0" w:color="auto"/>
          </w:divBdr>
        </w:div>
        <w:div w:id="1109348306">
          <w:marLeft w:val="0"/>
          <w:marRight w:val="0"/>
          <w:marTop w:val="0"/>
          <w:marBottom w:val="0"/>
          <w:divBdr>
            <w:top w:val="none" w:sz="0" w:space="0" w:color="auto"/>
            <w:left w:val="none" w:sz="0" w:space="0" w:color="auto"/>
            <w:bottom w:val="none" w:sz="0" w:space="0" w:color="auto"/>
            <w:right w:val="none" w:sz="0" w:space="0" w:color="auto"/>
          </w:divBdr>
        </w:div>
        <w:div w:id="1552306636">
          <w:marLeft w:val="0"/>
          <w:marRight w:val="0"/>
          <w:marTop w:val="0"/>
          <w:marBottom w:val="0"/>
          <w:divBdr>
            <w:top w:val="none" w:sz="0" w:space="0" w:color="auto"/>
            <w:left w:val="none" w:sz="0" w:space="0" w:color="auto"/>
            <w:bottom w:val="none" w:sz="0" w:space="0" w:color="auto"/>
            <w:right w:val="none" w:sz="0" w:space="0" w:color="auto"/>
          </w:divBdr>
        </w:div>
        <w:div w:id="762534591">
          <w:marLeft w:val="0"/>
          <w:marRight w:val="0"/>
          <w:marTop w:val="0"/>
          <w:marBottom w:val="0"/>
          <w:divBdr>
            <w:top w:val="none" w:sz="0" w:space="0" w:color="auto"/>
            <w:left w:val="none" w:sz="0" w:space="0" w:color="auto"/>
            <w:bottom w:val="none" w:sz="0" w:space="0" w:color="auto"/>
            <w:right w:val="none" w:sz="0" w:space="0" w:color="auto"/>
          </w:divBdr>
        </w:div>
        <w:div w:id="1637178064">
          <w:marLeft w:val="0"/>
          <w:marRight w:val="0"/>
          <w:marTop w:val="0"/>
          <w:marBottom w:val="0"/>
          <w:divBdr>
            <w:top w:val="none" w:sz="0" w:space="0" w:color="auto"/>
            <w:left w:val="none" w:sz="0" w:space="0" w:color="auto"/>
            <w:bottom w:val="none" w:sz="0" w:space="0" w:color="auto"/>
            <w:right w:val="none" w:sz="0" w:space="0" w:color="auto"/>
          </w:divBdr>
        </w:div>
        <w:div w:id="1898512974">
          <w:marLeft w:val="0"/>
          <w:marRight w:val="0"/>
          <w:marTop w:val="0"/>
          <w:marBottom w:val="0"/>
          <w:divBdr>
            <w:top w:val="none" w:sz="0" w:space="0" w:color="auto"/>
            <w:left w:val="none" w:sz="0" w:space="0" w:color="auto"/>
            <w:bottom w:val="none" w:sz="0" w:space="0" w:color="auto"/>
            <w:right w:val="none" w:sz="0" w:space="0" w:color="auto"/>
          </w:divBdr>
        </w:div>
      </w:divsChild>
    </w:div>
    <w:div w:id="231041764">
      <w:bodyDiv w:val="1"/>
      <w:marLeft w:val="0"/>
      <w:marRight w:val="0"/>
      <w:marTop w:val="0"/>
      <w:marBottom w:val="0"/>
      <w:divBdr>
        <w:top w:val="none" w:sz="0" w:space="0" w:color="auto"/>
        <w:left w:val="none" w:sz="0" w:space="0" w:color="auto"/>
        <w:bottom w:val="none" w:sz="0" w:space="0" w:color="auto"/>
        <w:right w:val="none" w:sz="0" w:space="0" w:color="auto"/>
      </w:divBdr>
    </w:div>
    <w:div w:id="303200250">
      <w:bodyDiv w:val="1"/>
      <w:marLeft w:val="0"/>
      <w:marRight w:val="0"/>
      <w:marTop w:val="0"/>
      <w:marBottom w:val="0"/>
      <w:divBdr>
        <w:top w:val="none" w:sz="0" w:space="0" w:color="auto"/>
        <w:left w:val="none" w:sz="0" w:space="0" w:color="auto"/>
        <w:bottom w:val="none" w:sz="0" w:space="0" w:color="auto"/>
        <w:right w:val="none" w:sz="0" w:space="0" w:color="auto"/>
      </w:divBdr>
    </w:div>
    <w:div w:id="322398627">
      <w:bodyDiv w:val="1"/>
      <w:marLeft w:val="0"/>
      <w:marRight w:val="0"/>
      <w:marTop w:val="0"/>
      <w:marBottom w:val="0"/>
      <w:divBdr>
        <w:top w:val="none" w:sz="0" w:space="0" w:color="auto"/>
        <w:left w:val="none" w:sz="0" w:space="0" w:color="auto"/>
        <w:bottom w:val="none" w:sz="0" w:space="0" w:color="auto"/>
        <w:right w:val="none" w:sz="0" w:space="0" w:color="auto"/>
      </w:divBdr>
      <w:divsChild>
        <w:div w:id="1888032666">
          <w:marLeft w:val="0"/>
          <w:marRight w:val="0"/>
          <w:marTop w:val="0"/>
          <w:marBottom w:val="0"/>
          <w:divBdr>
            <w:top w:val="none" w:sz="0" w:space="0" w:color="auto"/>
            <w:left w:val="none" w:sz="0" w:space="0" w:color="auto"/>
            <w:bottom w:val="none" w:sz="0" w:space="0" w:color="auto"/>
            <w:right w:val="none" w:sz="0" w:space="0" w:color="auto"/>
          </w:divBdr>
        </w:div>
        <w:div w:id="241456943">
          <w:marLeft w:val="0"/>
          <w:marRight w:val="0"/>
          <w:marTop w:val="0"/>
          <w:marBottom w:val="0"/>
          <w:divBdr>
            <w:top w:val="none" w:sz="0" w:space="0" w:color="auto"/>
            <w:left w:val="none" w:sz="0" w:space="0" w:color="auto"/>
            <w:bottom w:val="none" w:sz="0" w:space="0" w:color="auto"/>
            <w:right w:val="none" w:sz="0" w:space="0" w:color="auto"/>
          </w:divBdr>
        </w:div>
        <w:div w:id="1406148428">
          <w:marLeft w:val="0"/>
          <w:marRight w:val="0"/>
          <w:marTop w:val="0"/>
          <w:marBottom w:val="0"/>
          <w:divBdr>
            <w:top w:val="none" w:sz="0" w:space="0" w:color="auto"/>
            <w:left w:val="none" w:sz="0" w:space="0" w:color="auto"/>
            <w:bottom w:val="none" w:sz="0" w:space="0" w:color="auto"/>
            <w:right w:val="none" w:sz="0" w:space="0" w:color="auto"/>
          </w:divBdr>
        </w:div>
        <w:div w:id="757941407">
          <w:marLeft w:val="0"/>
          <w:marRight w:val="0"/>
          <w:marTop w:val="0"/>
          <w:marBottom w:val="0"/>
          <w:divBdr>
            <w:top w:val="none" w:sz="0" w:space="0" w:color="auto"/>
            <w:left w:val="none" w:sz="0" w:space="0" w:color="auto"/>
            <w:bottom w:val="none" w:sz="0" w:space="0" w:color="auto"/>
            <w:right w:val="none" w:sz="0" w:space="0" w:color="auto"/>
          </w:divBdr>
        </w:div>
        <w:div w:id="527718401">
          <w:marLeft w:val="0"/>
          <w:marRight w:val="0"/>
          <w:marTop w:val="0"/>
          <w:marBottom w:val="0"/>
          <w:divBdr>
            <w:top w:val="none" w:sz="0" w:space="0" w:color="auto"/>
            <w:left w:val="none" w:sz="0" w:space="0" w:color="auto"/>
            <w:bottom w:val="none" w:sz="0" w:space="0" w:color="auto"/>
            <w:right w:val="none" w:sz="0" w:space="0" w:color="auto"/>
          </w:divBdr>
        </w:div>
        <w:div w:id="1379861527">
          <w:marLeft w:val="0"/>
          <w:marRight w:val="0"/>
          <w:marTop w:val="0"/>
          <w:marBottom w:val="0"/>
          <w:divBdr>
            <w:top w:val="none" w:sz="0" w:space="0" w:color="auto"/>
            <w:left w:val="none" w:sz="0" w:space="0" w:color="auto"/>
            <w:bottom w:val="none" w:sz="0" w:space="0" w:color="auto"/>
            <w:right w:val="none" w:sz="0" w:space="0" w:color="auto"/>
          </w:divBdr>
        </w:div>
        <w:div w:id="2096510568">
          <w:marLeft w:val="0"/>
          <w:marRight w:val="0"/>
          <w:marTop w:val="0"/>
          <w:marBottom w:val="0"/>
          <w:divBdr>
            <w:top w:val="none" w:sz="0" w:space="0" w:color="auto"/>
            <w:left w:val="none" w:sz="0" w:space="0" w:color="auto"/>
            <w:bottom w:val="none" w:sz="0" w:space="0" w:color="auto"/>
            <w:right w:val="none" w:sz="0" w:space="0" w:color="auto"/>
          </w:divBdr>
        </w:div>
        <w:div w:id="1191607607">
          <w:marLeft w:val="0"/>
          <w:marRight w:val="0"/>
          <w:marTop w:val="0"/>
          <w:marBottom w:val="0"/>
          <w:divBdr>
            <w:top w:val="none" w:sz="0" w:space="0" w:color="auto"/>
            <w:left w:val="none" w:sz="0" w:space="0" w:color="auto"/>
            <w:bottom w:val="none" w:sz="0" w:space="0" w:color="auto"/>
            <w:right w:val="none" w:sz="0" w:space="0" w:color="auto"/>
          </w:divBdr>
        </w:div>
        <w:div w:id="1541281964">
          <w:marLeft w:val="0"/>
          <w:marRight w:val="0"/>
          <w:marTop w:val="0"/>
          <w:marBottom w:val="0"/>
          <w:divBdr>
            <w:top w:val="none" w:sz="0" w:space="0" w:color="auto"/>
            <w:left w:val="none" w:sz="0" w:space="0" w:color="auto"/>
            <w:bottom w:val="none" w:sz="0" w:space="0" w:color="auto"/>
            <w:right w:val="none" w:sz="0" w:space="0" w:color="auto"/>
          </w:divBdr>
        </w:div>
        <w:div w:id="262226251">
          <w:marLeft w:val="0"/>
          <w:marRight w:val="0"/>
          <w:marTop w:val="0"/>
          <w:marBottom w:val="0"/>
          <w:divBdr>
            <w:top w:val="none" w:sz="0" w:space="0" w:color="auto"/>
            <w:left w:val="none" w:sz="0" w:space="0" w:color="auto"/>
            <w:bottom w:val="none" w:sz="0" w:space="0" w:color="auto"/>
            <w:right w:val="none" w:sz="0" w:space="0" w:color="auto"/>
          </w:divBdr>
        </w:div>
        <w:div w:id="1818689631">
          <w:marLeft w:val="0"/>
          <w:marRight w:val="0"/>
          <w:marTop w:val="0"/>
          <w:marBottom w:val="0"/>
          <w:divBdr>
            <w:top w:val="none" w:sz="0" w:space="0" w:color="auto"/>
            <w:left w:val="none" w:sz="0" w:space="0" w:color="auto"/>
            <w:bottom w:val="none" w:sz="0" w:space="0" w:color="auto"/>
            <w:right w:val="none" w:sz="0" w:space="0" w:color="auto"/>
          </w:divBdr>
        </w:div>
        <w:div w:id="1291478013">
          <w:marLeft w:val="0"/>
          <w:marRight w:val="0"/>
          <w:marTop w:val="0"/>
          <w:marBottom w:val="0"/>
          <w:divBdr>
            <w:top w:val="none" w:sz="0" w:space="0" w:color="auto"/>
            <w:left w:val="none" w:sz="0" w:space="0" w:color="auto"/>
            <w:bottom w:val="none" w:sz="0" w:space="0" w:color="auto"/>
            <w:right w:val="none" w:sz="0" w:space="0" w:color="auto"/>
          </w:divBdr>
        </w:div>
        <w:div w:id="1999460920">
          <w:marLeft w:val="0"/>
          <w:marRight w:val="0"/>
          <w:marTop w:val="0"/>
          <w:marBottom w:val="0"/>
          <w:divBdr>
            <w:top w:val="none" w:sz="0" w:space="0" w:color="auto"/>
            <w:left w:val="none" w:sz="0" w:space="0" w:color="auto"/>
            <w:bottom w:val="none" w:sz="0" w:space="0" w:color="auto"/>
            <w:right w:val="none" w:sz="0" w:space="0" w:color="auto"/>
          </w:divBdr>
        </w:div>
        <w:div w:id="710155873">
          <w:marLeft w:val="0"/>
          <w:marRight w:val="0"/>
          <w:marTop w:val="0"/>
          <w:marBottom w:val="0"/>
          <w:divBdr>
            <w:top w:val="none" w:sz="0" w:space="0" w:color="auto"/>
            <w:left w:val="none" w:sz="0" w:space="0" w:color="auto"/>
            <w:bottom w:val="none" w:sz="0" w:space="0" w:color="auto"/>
            <w:right w:val="none" w:sz="0" w:space="0" w:color="auto"/>
          </w:divBdr>
        </w:div>
        <w:div w:id="2006130062">
          <w:marLeft w:val="0"/>
          <w:marRight w:val="0"/>
          <w:marTop w:val="0"/>
          <w:marBottom w:val="0"/>
          <w:divBdr>
            <w:top w:val="none" w:sz="0" w:space="0" w:color="auto"/>
            <w:left w:val="none" w:sz="0" w:space="0" w:color="auto"/>
            <w:bottom w:val="none" w:sz="0" w:space="0" w:color="auto"/>
            <w:right w:val="none" w:sz="0" w:space="0" w:color="auto"/>
          </w:divBdr>
        </w:div>
        <w:div w:id="1948927143">
          <w:marLeft w:val="0"/>
          <w:marRight w:val="0"/>
          <w:marTop w:val="0"/>
          <w:marBottom w:val="0"/>
          <w:divBdr>
            <w:top w:val="none" w:sz="0" w:space="0" w:color="auto"/>
            <w:left w:val="none" w:sz="0" w:space="0" w:color="auto"/>
            <w:bottom w:val="none" w:sz="0" w:space="0" w:color="auto"/>
            <w:right w:val="none" w:sz="0" w:space="0" w:color="auto"/>
          </w:divBdr>
        </w:div>
        <w:div w:id="1528256287">
          <w:marLeft w:val="0"/>
          <w:marRight w:val="0"/>
          <w:marTop w:val="0"/>
          <w:marBottom w:val="0"/>
          <w:divBdr>
            <w:top w:val="none" w:sz="0" w:space="0" w:color="auto"/>
            <w:left w:val="none" w:sz="0" w:space="0" w:color="auto"/>
            <w:bottom w:val="none" w:sz="0" w:space="0" w:color="auto"/>
            <w:right w:val="none" w:sz="0" w:space="0" w:color="auto"/>
          </w:divBdr>
        </w:div>
        <w:div w:id="1678456815">
          <w:marLeft w:val="0"/>
          <w:marRight w:val="0"/>
          <w:marTop w:val="0"/>
          <w:marBottom w:val="0"/>
          <w:divBdr>
            <w:top w:val="none" w:sz="0" w:space="0" w:color="auto"/>
            <w:left w:val="none" w:sz="0" w:space="0" w:color="auto"/>
            <w:bottom w:val="none" w:sz="0" w:space="0" w:color="auto"/>
            <w:right w:val="none" w:sz="0" w:space="0" w:color="auto"/>
          </w:divBdr>
        </w:div>
        <w:div w:id="1528832481">
          <w:marLeft w:val="0"/>
          <w:marRight w:val="0"/>
          <w:marTop w:val="0"/>
          <w:marBottom w:val="0"/>
          <w:divBdr>
            <w:top w:val="none" w:sz="0" w:space="0" w:color="auto"/>
            <w:left w:val="none" w:sz="0" w:space="0" w:color="auto"/>
            <w:bottom w:val="none" w:sz="0" w:space="0" w:color="auto"/>
            <w:right w:val="none" w:sz="0" w:space="0" w:color="auto"/>
          </w:divBdr>
        </w:div>
        <w:div w:id="964118274">
          <w:marLeft w:val="0"/>
          <w:marRight w:val="0"/>
          <w:marTop w:val="0"/>
          <w:marBottom w:val="0"/>
          <w:divBdr>
            <w:top w:val="none" w:sz="0" w:space="0" w:color="auto"/>
            <w:left w:val="none" w:sz="0" w:space="0" w:color="auto"/>
            <w:bottom w:val="none" w:sz="0" w:space="0" w:color="auto"/>
            <w:right w:val="none" w:sz="0" w:space="0" w:color="auto"/>
          </w:divBdr>
        </w:div>
        <w:div w:id="793136660">
          <w:marLeft w:val="0"/>
          <w:marRight w:val="0"/>
          <w:marTop w:val="0"/>
          <w:marBottom w:val="0"/>
          <w:divBdr>
            <w:top w:val="none" w:sz="0" w:space="0" w:color="auto"/>
            <w:left w:val="none" w:sz="0" w:space="0" w:color="auto"/>
            <w:bottom w:val="none" w:sz="0" w:space="0" w:color="auto"/>
            <w:right w:val="none" w:sz="0" w:space="0" w:color="auto"/>
          </w:divBdr>
        </w:div>
        <w:div w:id="1738935355">
          <w:marLeft w:val="0"/>
          <w:marRight w:val="0"/>
          <w:marTop w:val="0"/>
          <w:marBottom w:val="0"/>
          <w:divBdr>
            <w:top w:val="none" w:sz="0" w:space="0" w:color="auto"/>
            <w:left w:val="none" w:sz="0" w:space="0" w:color="auto"/>
            <w:bottom w:val="none" w:sz="0" w:space="0" w:color="auto"/>
            <w:right w:val="none" w:sz="0" w:space="0" w:color="auto"/>
          </w:divBdr>
        </w:div>
        <w:div w:id="764883051">
          <w:marLeft w:val="0"/>
          <w:marRight w:val="0"/>
          <w:marTop w:val="0"/>
          <w:marBottom w:val="0"/>
          <w:divBdr>
            <w:top w:val="none" w:sz="0" w:space="0" w:color="auto"/>
            <w:left w:val="none" w:sz="0" w:space="0" w:color="auto"/>
            <w:bottom w:val="none" w:sz="0" w:space="0" w:color="auto"/>
            <w:right w:val="none" w:sz="0" w:space="0" w:color="auto"/>
          </w:divBdr>
        </w:div>
      </w:divsChild>
    </w:div>
    <w:div w:id="342512533">
      <w:bodyDiv w:val="1"/>
      <w:marLeft w:val="0"/>
      <w:marRight w:val="0"/>
      <w:marTop w:val="0"/>
      <w:marBottom w:val="0"/>
      <w:divBdr>
        <w:top w:val="none" w:sz="0" w:space="0" w:color="auto"/>
        <w:left w:val="none" w:sz="0" w:space="0" w:color="auto"/>
        <w:bottom w:val="none" w:sz="0" w:space="0" w:color="auto"/>
        <w:right w:val="none" w:sz="0" w:space="0" w:color="auto"/>
      </w:divBdr>
    </w:div>
    <w:div w:id="396049006">
      <w:bodyDiv w:val="1"/>
      <w:marLeft w:val="0"/>
      <w:marRight w:val="0"/>
      <w:marTop w:val="0"/>
      <w:marBottom w:val="0"/>
      <w:divBdr>
        <w:top w:val="none" w:sz="0" w:space="0" w:color="auto"/>
        <w:left w:val="none" w:sz="0" w:space="0" w:color="auto"/>
        <w:bottom w:val="none" w:sz="0" w:space="0" w:color="auto"/>
        <w:right w:val="none" w:sz="0" w:space="0" w:color="auto"/>
      </w:divBdr>
    </w:div>
    <w:div w:id="399714194">
      <w:bodyDiv w:val="1"/>
      <w:marLeft w:val="0"/>
      <w:marRight w:val="0"/>
      <w:marTop w:val="0"/>
      <w:marBottom w:val="0"/>
      <w:divBdr>
        <w:top w:val="none" w:sz="0" w:space="0" w:color="auto"/>
        <w:left w:val="none" w:sz="0" w:space="0" w:color="auto"/>
        <w:bottom w:val="none" w:sz="0" w:space="0" w:color="auto"/>
        <w:right w:val="none" w:sz="0" w:space="0" w:color="auto"/>
      </w:divBdr>
    </w:div>
    <w:div w:id="619460523">
      <w:bodyDiv w:val="1"/>
      <w:marLeft w:val="0"/>
      <w:marRight w:val="0"/>
      <w:marTop w:val="0"/>
      <w:marBottom w:val="0"/>
      <w:divBdr>
        <w:top w:val="none" w:sz="0" w:space="0" w:color="auto"/>
        <w:left w:val="none" w:sz="0" w:space="0" w:color="auto"/>
        <w:bottom w:val="none" w:sz="0" w:space="0" w:color="auto"/>
        <w:right w:val="none" w:sz="0" w:space="0" w:color="auto"/>
      </w:divBdr>
    </w:div>
    <w:div w:id="622421694">
      <w:bodyDiv w:val="1"/>
      <w:marLeft w:val="0"/>
      <w:marRight w:val="0"/>
      <w:marTop w:val="0"/>
      <w:marBottom w:val="0"/>
      <w:divBdr>
        <w:top w:val="none" w:sz="0" w:space="0" w:color="auto"/>
        <w:left w:val="none" w:sz="0" w:space="0" w:color="auto"/>
        <w:bottom w:val="none" w:sz="0" w:space="0" w:color="auto"/>
        <w:right w:val="none" w:sz="0" w:space="0" w:color="auto"/>
      </w:divBdr>
    </w:div>
    <w:div w:id="668598574">
      <w:bodyDiv w:val="1"/>
      <w:marLeft w:val="0"/>
      <w:marRight w:val="0"/>
      <w:marTop w:val="0"/>
      <w:marBottom w:val="0"/>
      <w:divBdr>
        <w:top w:val="none" w:sz="0" w:space="0" w:color="auto"/>
        <w:left w:val="none" w:sz="0" w:space="0" w:color="auto"/>
        <w:bottom w:val="none" w:sz="0" w:space="0" w:color="auto"/>
        <w:right w:val="none" w:sz="0" w:space="0" w:color="auto"/>
      </w:divBdr>
    </w:div>
    <w:div w:id="743843098">
      <w:bodyDiv w:val="1"/>
      <w:marLeft w:val="0"/>
      <w:marRight w:val="0"/>
      <w:marTop w:val="0"/>
      <w:marBottom w:val="0"/>
      <w:divBdr>
        <w:top w:val="none" w:sz="0" w:space="0" w:color="auto"/>
        <w:left w:val="none" w:sz="0" w:space="0" w:color="auto"/>
        <w:bottom w:val="none" w:sz="0" w:space="0" w:color="auto"/>
        <w:right w:val="none" w:sz="0" w:space="0" w:color="auto"/>
      </w:divBdr>
    </w:div>
    <w:div w:id="841745940">
      <w:bodyDiv w:val="1"/>
      <w:marLeft w:val="0"/>
      <w:marRight w:val="0"/>
      <w:marTop w:val="0"/>
      <w:marBottom w:val="0"/>
      <w:divBdr>
        <w:top w:val="none" w:sz="0" w:space="0" w:color="auto"/>
        <w:left w:val="none" w:sz="0" w:space="0" w:color="auto"/>
        <w:bottom w:val="none" w:sz="0" w:space="0" w:color="auto"/>
        <w:right w:val="none" w:sz="0" w:space="0" w:color="auto"/>
      </w:divBdr>
    </w:div>
    <w:div w:id="1050150430">
      <w:bodyDiv w:val="1"/>
      <w:marLeft w:val="0"/>
      <w:marRight w:val="0"/>
      <w:marTop w:val="0"/>
      <w:marBottom w:val="0"/>
      <w:divBdr>
        <w:top w:val="none" w:sz="0" w:space="0" w:color="auto"/>
        <w:left w:val="none" w:sz="0" w:space="0" w:color="auto"/>
        <w:bottom w:val="none" w:sz="0" w:space="0" w:color="auto"/>
        <w:right w:val="none" w:sz="0" w:space="0" w:color="auto"/>
      </w:divBdr>
    </w:div>
    <w:div w:id="1195651413">
      <w:bodyDiv w:val="1"/>
      <w:marLeft w:val="0"/>
      <w:marRight w:val="0"/>
      <w:marTop w:val="0"/>
      <w:marBottom w:val="0"/>
      <w:divBdr>
        <w:top w:val="none" w:sz="0" w:space="0" w:color="auto"/>
        <w:left w:val="none" w:sz="0" w:space="0" w:color="auto"/>
        <w:bottom w:val="none" w:sz="0" w:space="0" w:color="auto"/>
        <w:right w:val="none" w:sz="0" w:space="0" w:color="auto"/>
      </w:divBdr>
    </w:div>
    <w:div w:id="1358507364">
      <w:bodyDiv w:val="1"/>
      <w:marLeft w:val="0"/>
      <w:marRight w:val="0"/>
      <w:marTop w:val="0"/>
      <w:marBottom w:val="0"/>
      <w:divBdr>
        <w:top w:val="none" w:sz="0" w:space="0" w:color="auto"/>
        <w:left w:val="none" w:sz="0" w:space="0" w:color="auto"/>
        <w:bottom w:val="none" w:sz="0" w:space="0" w:color="auto"/>
        <w:right w:val="none" w:sz="0" w:space="0" w:color="auto"/>
      </w:divBdr>
    </w:div>
    <w:div w:id="1404647237">
      <w:bodyDiv w:val="1"/>
      <w:marLeft w:val="0"/>
      <w:marRight w:val="0"/>
      <w:marTop w:val="0"/>
      <w:marBottom w:val="0"/>
      <w:divBdr>
        <w:top w:val="none" w:sz="0" w:space="0" w:color="auto"/>
        <w:left w:val="none" w:sz="0" w:space="0" w:color="auto"/>
        <w:bottom w:val="none" w:sz="0" w:space="0" w:color="auto"/>
        <w:right w:val="none" w:sz="0" w:space="0" w:color="auto"/>
      </w:divBdr>
      <w:divsChild>
        <w:div w:id="914243845">
          <w:marLeft w:val="0"/>
          <w:marRight w:val="0"/>
          <w:marTop w:val="0"/>
          <w:marBottom w:val="0"/>
          <w:divBdr>
            <w:top w:val="none" w:sz="0" w:space="0" w:color="auto"/>
            <w:left w:val="none" w:sz="0" w:space="0" w:color="auto"/>
            <w:bottom w:val="none" w:sz="0" w:space="0" w:color="auto"/>
            <w:right w:val="none" w:sz="0" w:space="0" w:color="auto"/>
          </w:divBdr>
        </w:div>
        <w:div w:id="1747847038">
          <w:marLeft w:val="0"/>
          <w:marRight w:val="0"/>
          <w:marTop w:val="0"/>
          <w:marBottom w:val="0"/>
          <w:divBdr>
            <w:top w:val="none" w:sz="0" w:space="0" w:color="auto"/>
            <w:left w:val="none" w:sz="0" w:space="0" w:color="auto"/>
            <w:bottom w:val="none" w:sz="0" w:space="0" w:color="auto"/>
            <w:right w:val="none" w:sz="0" w:space="0" w:color="auto"/>
          </w:divBdr>
        </w:div>
        <w:div w:id="2016613396">
          <w:marLeft w:val="0"/>
          <w:marRight w:val="0"/>
          <w:marTop w:val="0"/>
          <w:marBottom w:val="0"/>
          <w:divBdr>
            <w:top w:val="none" w:sz="0" w:space="0" w:color="auto"/>
            <w:left w:val="none" w:sz="0" w:space="0" w:color="auto"/>
            <w:bottom w:val="none" w:sz="0" w:space="0" w:color="auto"/>
            <w:right w:val="none" w:sz="0" w:space="0" w:color="auto"/>
          </w:divBdr>
        </w:div>
        <w:div w:id="1500077031">
          <w:marLeft w:val="0"/>
          <w:marRight w:val="0"/>
          <w:marTop w:val="0"/>
          <w:marBottom w:val="0"/>
          <w:divBdr>
            <w:top w:val="none" w:sz="0" w:space="0" w:color="auto"/>
            <w:left w:val="none" w:sz="0" w:space="0" w:color="auto"/>
            <w:bottom w:val="none" w:sz="0" w:space="0" w:color="auto"/>
            <w:right w:val="none" w:sz="0" w:space="0" w:color="auto"/>
          </w:divBdr>
        </w:div>
        <w:div w:id="1089355275">
          <w:marLeft w:val="0"/>
          <w:marRight w:val="0"/>
          <w:marTop w:val="0"/>
          <w:marBottom w:val="0"/>
          <w:divBdr>
            <w:top w:val="none" w:sz="0" w:space="0" w:color="auto"/>
            <w:left w:val="none" w:sz="0" w:space="0" w:color="auto"/>
            <w:bottom w:val="none" w:sz="0" w:space="0" w:color="auto"/>
            <w:right w:val="none" w:sz="0" w:space="0" w:color="auto"/>
          </w:divBdr>
        </w:div>
        <w:div w:id="910770697">
          <w:marLeft w:val="0"/>
          <w:marRight w:val="0"/>
          <w:marTop w:val="0"/>
          <w:marBottom w:val="0"/>
          <w:divBdr>
            <w:top w:val="none" w:sz="0" w:space="0" w:color="auto"/>
            <w:left w:val="none" w:sz="0" w:space="0" w:color="auto"/>
            <w:bottom w:val="none" w:sz="0" w:space="0" w:color="auto"/>
            <w:right w:val="none" w:sz="0" w:space="0" w:color="auto"/>
          </w:divBdr>
        </w:div>
        <w:div w:id="1695115348">
          <w:marLeft w:val="0"/>
          <w:marRight w:val="0"/>
          <w:marTop w:val="0"/>
          <w:marBottom w:val="0"/>
          <w:divBdr>
            <w:top w:val="none" w:sz="0" w:space="0" w:color="auto"/>
            <w:left w:val="none" w:sz="0" w:space="0" w:color="auto"/>
            <w:bottom w:val="none" w:sz="0" w:space="0" w:color="auto"/>
            <w:right w:val="none" w:sz="0" w:space="0" w:color="auto"/>
          </w:divBdr>
        </w:div>
        <w:div w:id="2064594795">
          <w:marLeft w:val="0"/>
          <w:marRight w:val="0"/>
          <w:marTop w:val="0"/>
          <w:marBottom w:val="0"/>
          <w:divBdr>
            <w:top w:val="none" w:sz="0" w:space="0" w:color="auto"/>
            <w:left w:val="none" w:sz="0" w:space="0" w:color="auto"/>
            <w:bottom w:val="none" w:sz="0" w:space="0" w:color="auto"/>
            <w:right w:val="none" w:sz="0" w:space="0" w:color="auto"/>
          </w:divBdr>
        </w:div>
        <w:div w:id="336471128">
          <w:marLeft w:val="0"/>
          <w:marRight w:val="0"/>
          <w:marTop w:val="0"/>
          <w:marBottom w:val="0"/>
          <w:divBdr>
            <w:top w:val="none" w:sz="0" w:space="0" w:color="auto"/>
            <w:left w:val="none" w:sz="0" w:space="0" w:color="auto"/>
            <w:bottom w:val="none" w:sz="0" w:space="0" w:color="auto"/>
            <w:right w:val="none" w:sz="0" w:space="0" w:color="auto"/>
          </w:divBdr>
        </w:div>
        <w:div w:id="1171261651">
          <w:marLeft w:val="0"/>
          <w:marRight w:val="0"/>
          <w:marTop w:val="0"/>
          <w:marBottom w:val="0"/>
          <w:divBdr>
            <w:top w:val="none" w:sz="0" w:space="0" w:color="auto"/>
            <w:left w:val="none" w:sz="0" w:space="0" w:color="auto"/>
            <w:bottom w:val="none" w:sz="0" w:space="0" w:color="auto"/>
            <w:right w:val="none" w:sz="0" w:space="0" w:color="auto"/>
          </w:divBdr>
        </w:div>
        <w:div w:id="563223501">
          <w:marLeft w:val="0"/>
          <w:marRight w:val="0"/>
          <w:marTop w:val="0"/>
          <w:marBottom w:val="0"/>
          <w:divBdr>
            <w:top w:val="none" w:sz="0" w:space="0" w:color="auto"/>
            <w:left w:val="none" w:sz="0" w:space="0" w:color="auto"/>
            <w:bottom w:val="none" w:sz="0" w:space="0" w:color="auto"/>
            <w:right w:val="none" w:sz="0" w:space="0" w:color="auto"/>
          </w:divBdr>
        </w:div>
        <w:div w:id="86929892">
          <w:marLeft w:val="0"/>
          <w:marRight w:val="0"/>
          <w:marTop w:val="0"/>
          <w:marBottom w:val="0"/>
          <w:divBdr>
            <w:top w:val="none" w:sz="0" w:space="0" w:color="auto"/>
            <w:left w:val="none" w:sz="0" w:space="0" w:color="auto"/>
            <w:bottom w:val="none" w:sz="0" w:space="0" w:color="auto"/>
            <w:right w:val="none" w:sz="0" w:space="0" w:color="auto"/>
          </w:divBdr>
        </w:div>
        <w:div w:id="1422067542">
          <w:marLeft w:val="0"/>
          <w:marRight w:val="0"/>
          <w:marTop w:val="0"/>
          <w:marBottom w:val="0"/>
          <w:divBdr>
            <w:top w:val="none" w:sz="0" w:space="0" w:color="auto"/>
            <w:left w:val="none" w:sz="0" w:space="0" w:color="auto"/>
            <w:bottom w:val="none" w:sz="0" w:space="0" w:color="auto"/>
            <w:right w:val="none" w:sz="0" w:space="0" w:color="auto"/>
          </w:divBdr>
        </w:div>
        <w:div w:id="2013019682">
          <w:marLeft w:val="0"/>
          <w:marRight w:val="0"/>
          <w:marTop w:val="0"/>
          <w:marBottom w:val="0"/>
          <w:divBdr>
            <w:top w:val="none" w:sz="0" w:space="0" w:color="auto"/>
            <w:left w:val="none" w:sz="0" w:space="0" w:color="auto"/>
            <w:bottom w:val="none" w:sz="0" w:space="0" w:color="auto"/>
            <w:right w:val="none" w:sz="0" w:space="0" w:color="auto"/>
          </w:divBdr>
        </w:div>
        <w:div w:id="949775671">
          <w:marLeft w:val="0"/>
          <w:marRight w:val="0"/>
          <w:marTop w:val="0"/>
          <w:marBottom w:val="0"/>
          <w:divBdr>
            <w:top w:val="none" w:sz="0" w:space="0" w:color="auto"/>
            <w:left w:val="none" w:sz="0" w:space="0" w:color="auto"/>
            <w:bottom w:val="none" w:sz="0" w:space="0" w:color="auto"/>
            <w:right w:val="none" w:sz="0" w:space="0" w:color="auto"/>
          </w:divBdr>
        </w:div>
        <w:div w:id="147282409">
          <w:marLeft w:val="0"/>
          <w:marRight w:val="0"/>
          <w:marTop w:val="0"/>
          <w:marBottom w:val="0"/>
          <w:divBdr>
            <w:top w:val="none" w:sz="0" w:space="0" w:color="auto"/>
            <w:left w:val="none" w:sz="0" w:space="0" w:color="auto"/>
            <w:bottom w:val="none" w:sz="0" w:space="0" w:color="auto"/>
            <w:right w:val="none" w:sz="0" w:space="0" w:color="auto"/>
          </w:divBdr>
        </w:div>
        <w:div w:id="1802766614">
          <w:marLeft w:val="0"/>
          <w:marRight w:val="0"/>
          <w:marTop w:val="0"/>
          <w:marBottom w:val="0"/>
          <w:divBdr>
            <w:top w:val="none" w:sz="0" w:space="0" w:color="auto"/>
            <w:left w:val="none" w:sz="0" w:space="0" w:color="auto"/>
            <w:bottom w:val="none" w:sz="0" w:space="0" w:color="auto"/>
            <w:right w:val="none" w:sz="0" w:space="0" w:color="auto"/>
          </w:divBdr>
        </w:div>
        <w:div w:id="544608524">
          <w:marLeft w:val="0"/>
          <w:marRight w:val="0"/>
          <w:marTop w:val="0"/>
          <w:marBottom w:val="0"/>
          <w:divBdr>
            <w:top w:val="none" w:sz="0" w:space="0" w:color="auto"/>
            <w:left w:val="none" w:sz="0" w:space="0" w:color="auto"/>
            <w:bottom w:val="none" w:sz="0" w:space="0" w:color="auto"/>
            <w:right w:val="none" w:sz="0" w:space="0" w:color="auto"/>
          </w:divBdr>
        </w:div>
        <w:div w:id="135536383">
          <w:marLeft w:val="0"/>
          <w:marRight w:val="0"/>
          <w:marTop w:val="0"/>
          <w:marBottom w:val="0"/>
          <w:divBdr>
            <w:top w:val="none" w:sz="0" w:space="0" w:color="auto"/>
            <w:left w:val="none" w:sz="0" w:space="0" w:color="auto"/>
            <w:bottom w:val="none" w:sz="0" w:space="0" w:color="auto"/>
            <w:right w:val="none" w:sz="0" w:space="0" w:color="auto"/>
          </w:divBdr>
        </w:div>
        <w:div w:id="477193309">
          <w:marLeft w:val="0"/>
          <w:marRight w:val="0"/>
          <w:marTop w:val="0"/>
          <w:marBottom w:val="0"/>
          <w:divBdr>
            <w:top w:val="none" w:sz="0" w:space="0" w:color="auto"/>
            <w:left w:val="none" w:sz="0" w:space="0" w:color="auto"/>
            <w:bottom w:val="none" w:sz="0" w:space="0" w:color="auto"/>
            <w:right w:val="none" w:sz="0" w:space="0" w:color="auto"/>
          </w:divBdr>
        </w:div>
        <w:div w:id="1654673399">
          <w:marLeft w:val="0"/>
          <w:marRight w:val="0"/>
          <w:marTop w:val="0"/>
          <w:marBottom w:val="0"/>
          <w:divBdr>
            <w:top w:val="none" w:sz="0" w:space="0" w:color="auto"/>
            <w:left w:val="none" w:sz="0" w:space="0" w:color="auto"/>
            <w:bottom w:val="none" w:sz="0" w:space="0" w:color="auto"/>
            <w:right w:val="none" w:sz="0" w:space="0" w:color="auto"/>
          </w:divBdr>
        </w:div>
        <w:div w:id="1643728652">
          <w:marLeft w:val="0"/>
          <w:marRight w:val="0"/>
          <w:marTop w:val="0"/>
          <w:marBottom w:val="0"/>
          <w:divBdr>
            <w:top w:val="none" w:sz="0" w:space="0" w:color="auto"/>
            <w:left w:val="none" w:sz="0" w:space="0" w:color="auto"/>
            <w:bottom w:val="none" w:sz="0" w:space="0" w:color="auto"/>
            <w:right w:val="none" w:sz="0" w:space="0" w:color="auto"/>
          </w:divBdr>
        </w:div>
        <w:div w:id="364797058">
          <w:marLeft w:val="0"/>
          <w:marRight w:val="0"/>
          <w:marTop w:val="0"/>
          <w:marBottom w:val="0"/>
          <w:divBdr>
            <w:top w:val="none" w:sz="0" w:space="0" w:color="auto"/>
            <w:left w:val="none" w:sz="0" w:space="0" w:color="auto"/>
            <w:bottom w:val="none" w:sz="0" w:space="0" w:color="auto"/>
            <w:right w:val="none" w:sz="0" w:space="0" w:color="auto"/>
          </w:divBdr>
        </w:div>
        <w:div w:id="297611898">
          <w:marLeft w:val="0"/>
          <w:marRight w:val="0"/>
          <w:marTop w:val="0"/>
          <w:marBottom w:val="0"/>
          <w:divBdr>
            <w:top w:val="none" w:sz="0" w:space="0" w:color="auto"/>
            <w:left w:val="none" w:sz="0" w:space="0" w:color="auto"/>
            <w:bottom w:val="none" w:sz="0" w:space="0" w:color="auto"/>
            <w:right w:val="none" w:sz="0" w:space="0" w:color="auto"/>
          </w:divBdr>
        </w:div>
        <w:div w:id="98333229">
          <w:marLeft w:val="0"/>
          <w:marRight w:val="0"/>
          <w:marTop w:val="0"/>
          <w:marBottom w:val="0"/>
          <w:divBdr>
            <w:top w:val="none" w:sz="0" w:space="0" w:color="auto"/>
            <w:left w:val="none" w:sz="0" w:space="0" w:color="auto"/>
            <w:bottom w:val="none" w:sz="0" w:space="0" w:color="auto"/>
            <w:right w:val="none" w:sz="0" w:space="0" w:color="auto"/>
          </w:divBdr>
        </w:div>
        <w:div w:id="1492942537">
          <w:marLeft w:val="0"/>
          <w:marRight w:val="0"/>
          <w:marTop w:val="0"/>
          <w:marBottom w:val="0"/>
          <w:divBdr>
            <w:top w:val="none" w:sz="0" w:space="0" w:color="auto"/>
            <w:left w:val="none" w:sz="0" w:space="0" w:color="auto"/>
            <w:bottom w:val="none" w:sz="0" w:space="0" w:color="auto"/>
            <w:right w:val="none" w:sz="0" w:space="0" w:color="auto"/>
          </w:divBdr>
        </w:div>
        <w:div w:id="133068210">
          <w:marLeft w:val="0"/>
          <w:marRight w:val="0"/>
          <w:marTop w:val="0"/>
          <w:marBottom w:val="0"/>
          <w:divBdr>
            <w:top w:val="none" w:sz="0" w:space="0" w:color="auto"/>
            <w:left w:val="none" w:sz="0" w:space="0" w:color="auto"/>
            <w:bottom w:val="none" w:sz="0" w:space="0" w:color="auto"/>
            <w:right w:val="none" w:sz="0" w:space="0" w:color="auto"/>
          </w:divBdr>
        </w:div>
        <w:div w:id="1613975989">
          <w:marLeft w:val="0"/>
          <w:marRight w:val="0"/>
          <w:marTop w:val="0"/>
          <w:marBottom w:val="0"/>
          <w:divBdr>
            <w:top w:val="none" w:sz="0" w:space="0" w:color="auto"/>
            <w:left w:val="none" w:sz="0" w:space="0" w:color="auto"/>
            <w:bottom w:val="none" w:sz="0" w:space="0" w:color="auto"/>
            <w:right w:val="none" w:sz="0" w:space="0" w:color="auto"/>
          </w:divBdr>
        </w:div>
        <w:div w:id="538661091">
          <w:marLeft w:val="0"/>
          <w:marRight w:val="0"/>
          <w:marTop w:val="0"/>
          <w:marBottom w:val="0"/>
          <w:divBdr>
            <w:top w:val="none" w:sz="0" w:space="0" w:color="auto"/>
            <w:left w:val="none" w:sz="0" w:space="0" w:color="auto"/>
            <w:bottom w:val="none" w:sz="0" w:space="0" w:color="auto"/>
            <w:right w:val="none" w:sz="0" w:space="0" w:color="auto"/>
          </w:divBdr>
        </w:div>
        <w:div w:id="619192769">
          <w:marLeft w:val="0"/>
          <w:marRight w:val="0"/>
          <w:marTop w:val="0"/>
          <w:marBottom w:val="0"/>
          <w:divBdr>
            <w:top w:val="none" w:sz="0" w:space="0" w:color="auto"/>
            <w:left w:val="none" w:sz="0" w:space="0" w:color="auto"/>
            <w:bottom w:val="none" w:sz="0" w:space="0" w:color="auto"/>
            <w:right w:val="none" w:sz="0" w:space="0" w:color="auto"/>
          </w:divBdr>
        </w:div>
        <w:div w:id="2025865627">
          <w:marLeft w:val="0"/>
          <w:marRight w:val="0"/>
          <w:marTop w:val="0"/>
          <w:marBottom w:val="0"/>
          <w:divBdr>
            <w:top w:val="none" w:sz="0" w:space="0" w:color="auto"/>
            <w:left w:val="none" w:sz="0" w:space="0" w:color="auto"/>
            <w:bottom w:val="none" w:sz="0" w:space="0" w:color="auto"/>
            <w:right w:val="none" w:sz="0" w:space="0" w:color="auto"/>
          </w:divBdr>
        </w:div>
        <w:div w:id="1803185022">
          <w:marLeft w:val="0"/>
          <w:marRight w:val="0"/>
          <w:marTop w:val="0"/>
          <w:marBottom w:val="0"/>
          <w:divBdr>
            <w:top w:val="none" w:sz="0" w:space="0" w:color="auto"/>
            <w:left w:val="none" w:sz="0" w:space="0" w:color="auto"/>
            <w:bottom w:val="none" w:sz="0" w:space="0" w:color="auto"/>
            <w:right w:val="none" w:sz="0" w:space="0" w:color="auto"/>
          </w:divBdr>
        </w:div>
        <w:div w:id="2001613919">
          <w:marLeft w:val="0"/>
          <w:marRight w:val="0"/>
          <w:marTop w:val="0"/>
          <w:marBottom w:val="0"/>
          <w:divBdr>
            <w:top w:val="none" w:sz="0" w:space="0" w:color="auto"/>
            <w:left w:val="none" w:sz="0" w:space="0" w:color="auto"/>
            <w:bottom w:val="none" w:sz="0" w:space="0" w:color="auto"/>
            <w:right w:val="none" w:sz="0" w:space="0" w:color="auto"/>
          </w:divBdr>
        </w:div>
        <w:div w:id="785121465">
          <w:marLeft w:val="0"/>
          <w:marRight w:val="0"/>
          <w:marTop w:val="0"/>
          <w:marBottom w:val="0"/>
          <w:divBdr>
            <w:top w:val="none" w:sz="0" w:space="0" w:color="auto"/>
            <w:left w:val="none" w:sz="0" w:space="0" w:color="auto"/>
            <w:bottom w:val="none" w:sz="0" w:space="0" w:color="auto"/>
            <w:right w:val="none" w:sz="0" w:space="0" w:color="auto"/>
          </w:divBdr>
        </w:div>
        <w:div w:id="986007499">
          <w:marLeft w:val="0"/>
          <w:marRight w:val="0"/>
          <w:marTop w:val="0"/>
          <w:marBottom w:val="0"/>
          <w:divBdr>
            <w:top w:val="none" w:sz="0" w:space="0" w:color="auto"/>
            <w:left w:val="none" w:sz="0" w:space="0" w:color="auto"/>
            <w:bottom w:val="none" w:sz="0" w:space="0" w:color="auto"/>
            <w:right w:val="none" w:sz="0" w:space="0" w:color="auto"/>
          </w:divBdr>
        </w:div>
        <w:div w:id="1391341707">
          <w:marLeft w:val="0"/>
          <w:marRight w:val="0"/>
          <w:marTop w:val="0"/>
          <w:marBottom w:val="0"/>
          <w:divBdr>
            <w:top w:val="none" w:sz="0" w:space="0" w:color="auto"/>
            <w:left w:val="none" w:sz="0" w:space="0" w:color="auto"/>
            <w:bottom w:val="none" w:sz="0" w:space="0" w:color="auto"/>
            <w:right w:val="none" w:sz="0" w:space="0" w:color="auto"/>
          </w:divBdr>
        </w:div>
        <w:div w:id="1257447873">
          <w:marLeft w:val="0"/>
          <w:marRight w:val="0"/>
          <w:marTop w:val="0"/>
          <w:marBottom w:val="0"/>
          <w:divBdr>
            <w:top w:val="none" w:sz="0" w:space="0" w:color="auto"/>
            <w:left w:val="none" w:sz="0" w:space="0" w:color="auto"/>
            <w:bottom w:val="none" w:sz="0" w:space="0" w:color="auto"/>
            <w:right w:val="none" w:sz="0" w:space="0" w:color="auto"/>
          </w:divBdr>
        </w:div>
        <w:div w:id="2077387189">
          <w:marLeft w:val="0"/>
          <w:marRight w:val="0"/>
          <w:marTop w:val="0"/>
          <w:marBottom w:val="0"/>
          <w:divBdr>
            <w:top w:val="none" w:sz="0" w:space="0" w:color="auto"/>
            <w:left w:val="none" w:sz="0" w:space="0" w:color="auto"/>
            <w:bottom w:val="none" w:sz="0" w:space="0" w:color="auto"/>
            <w:right w:val="none" w:sz="0" w:space="0" w:color="auto"/>
          </w:divBdr>
        </w:div>
        <w:div w:id="1570387603">
          <w:marLeft w:val="0"/>
          <w:marRight w:val="0"/>
          <w:marTop w:val="0"/>
          <w:marBottom w:val="0"/>
          <w:divBdr>
            <w:top w:val="none" w:sz="0" w:space="0" w:color="auto"/>
            <w:left w:val="none" w:sz="0" w:space="0" w:color="auto"/>
            <w:bottom w:val="none" w:sz="0" w:space="0" w:color="auto"/>
            <w:right w:val="none" w:sz="0" w:space="0" w:color="auto"/>
          </w:divBdr>
        </w:div>
        <w:div w:id="1247810451">
          <w:marLeft w:val="0"/>
          <w:marRight w:val="0"/>
          <w:marTop w:val="0"/>
          <w:marBottom w:val="0"/>
          <w:divBdr>
            <w:top w:val="none" w:sz="0" w:space="0" w:color="auto"/>
            <w:left w:val="none" w:sz="0" w:space="0" w:color="auto"/>
            <w:bottom w:val="none" w:sz="0" w:space="0" w:color="auto"/>
            <w:right w:val="none" w:sz="0" w:space="0" w:color="auto"/>
          </w:divBdr>
        </w:div>
        <w:div w:id="165679711">
          <w:marLeft w:val="0"/>
          <w:marRight w:val="0"/>
          <w:marTop w:val="0"/>
          <w:marBottom w:val="0"/>
          <w:divBdr>
            <w:top w:val="none" w:sz="0" w:space="0" w:color="auto"/>
            <w:left w:val="none" w:sz="0" w:space="0" w:color="auto"/>
            <w:bottom w:val="none" w:sz="0" w:space="0" w:color="auto"/>
            <w:right w:val="none" w:sz="0" w:space="0" w:color="auto"/>
          </w:divBdr>
        </w:div>
        <w:div w:id="1136874127">
          <w:marLeft w:val="0"/>
          <w:marRight w:val="0"/>
          <w:marTop w:val="0"/>
          <w:marBottom w:val="0"/>
          <w:divBdr>
            <w:top w:val="none" w:sz="0" w:space="0" w:color="auto"/>
            <w:left w:val="none" w:sz="0" w:space="0" w:color="auto"/>
            <w:bottom w:val="none" w:sz="0" w:space="0" w:color="auto"/>
            <w:right w:val="none" w:sz="0" w:space="0" w:color="auto"/>
          </w:divBdr>
        </w:div>
        <w:div w:id="1197088106">
          <w:marLeft w:val="0"/>
          <w:marRight w:val="0"/>
          <w:marTop w:val="0"/>
          <w:marBottom w:val="0"/>
          <w:divBdr>
            <w:top w:val="none" w:sz="0" w:space="0" w:color="auto"/>
            <w:left w:val="none" w:sz="0" w:space="0" w:color="auto"/>
            <w:bottom w:val="none" w:sz="0" w:space="0" w:color="auto"/>
            <w:right w:val="none" w:sz="0" w:space="0" w:color="auto"/>
          </w:divBdr>
        </w:div>
        <w:div w:id="40135755">
          <w:marLeft w:val="0"/>
          <w:marRight w:val="0"/>
          <w:marTop w:val="0"/>
          <w:marBottom w:val="0"/>
          <w:divBdr>
            <w:top w:val="none" w:sz="0" w:space="0" w:color="auto"/>
            <w:left w:val="none" w:sz="0" w:space="0" w:color="auto"/>
            <w:bottom w:val="none" w:sz="0" w:space="0" w:color="auto"/>
            <w:right w:val="none" w:sz="0" w:space="0" w:color="auto"/>
          </w:divBdr>
        </w:div>
        <w:div w:id="848250597">
          <w:marLeft w:val="0"/>
          <w:marRight w:val="0"/>
          <w:marTop w:val="0"/>
          <w:marBottom w:val="0"/>
          <w:divBdr>
            <w:top w:val="none" w:sz="0" w:space="0" w:color="auto"/>
            <w:left w:val="none" w:sz="0" w:space="0" w:color="auto"/>
            <w:bottom w:val="none" w:sz="0" w:space="0" w:color="auto"/>
            <w:right w:val="none" w:sz="0" w:space="0" w:color="auto"/>
          </w:divBdr>
        </w:div>
        <w:div w:id="1528131469">
          <w:marLeft w:val="0"/>
          <w:marRight w:val="0"/>
          <w:marTop w:val="0"/>
          <w:marBottom w:val="0"/>
          <w:divBdr>
            <w:top w:val="none" w:sz="0" w:space="0" w:color="auto"/>
            <w:left w:val="none" w:sz="0" w:space="0" w:color="auto"/>
            <w:bottom w:val="none" w:sz="0" w:space="0" w:color="auto"/>
            <w:right w:val="none" w:sz="0" w:space="0" w:color="auto"/>
          </w:divBdr>
        </w:div>
        <w:div w:id="555435763">
          <w:marLeft w:val="0"/>
          <w:marRight w:val="0"/>
          <w:marTop w:val="0"/>
          <w:marBottom w:val="0"/>
          <w:divBdr>
            <w:top w:val="none" w:sz="0" w:space="0" w:color="auto"/>
            <w:left w:val="none" w:sz="0" w:space="0" w:color="auto"/>
            <w:bottom w:val="none" w:sz="0" w:space="0" w:color="auto"/>
            <w:right w:val="none" w:sz="0" w:space="0" w:color="auto"/>
          </w:divBdr>
        </w:div>
        <w:div w:id="1929146222">
          <w:marLeft w:val="0"/>
          <w:marRight w:val="0"/>
          <w:marTop w:val="0"/>
          <w:marBottom w:val="0"/>
          <w:divBdr>
            <w:top w:val="none" w:sz="0" w:space="0" w:color="auto"/>
            <w:left w:val="none" w:sz="0" w:space="0" w:color="auto"/>
            <w:bottom w:val="none" w:sz="0" w:space="0" w:color="auto"/>
            <w:right w:val="none" w:sz="0" w:space="0" w:color="auto"/>
          </w:divBdr>
        </w:div>
        <w:div w:id="2022006373">
          <w:marLeft w:val="0"/>
          <w:marRight w:val="0"/>
          <w:marTop w:val="0"/>
          <w:marBottom w:val="0"/>
          <w:divBdr>
            <w:top w:val="none" w:sz="0" w:space="0" w:color="auto"/>
            <w:left w:val="none" w:sz="0" w:space="0" w:color="auto"/>
            <w:bottom w:val="none" w:sz="0" w:space="0" w:color="auto"/>
            <w:right w:val="none" w:sz="0" w:space="0" w:color="auto"/>
          </w:divBdr>
        </w:div>
        <w:div w:id="1525903914">
          <w:marLeft w:val="0"/>
          <w:marRight w:val="0"/>
          <w:marTop w:val="0"/>
          <w:marBottom w:val="0"/>
          <w:divBdr>
            <w:top w:val="none" w:sz="0" w:space="0" w:color="auto"/>
            <w:left w:val="none" w:sz="0" w:space="0" w:color="auto"/>
            <w:bottom w:val="none" w:sz="0" w:space="0" w:color="auto"/>
            <w:right w:val="none" w:sz="0" w:space="0" w:color="auto"/>
          </w:divBdr>
        </w:div>
        <w:div w:id="1624841897">
          <w:marLeft w:val="0"/>
          <w:marRight w:val="0"/>
          <w:marTop w:val="0"/>
          <w:marBottom w:val="0"/>
          <w:divBdr>
            <w:top w:val="none" w:sz="0" w:space="0" w:color="auto"/>
            <w:left w:val="none" w:sz="0" w:space="0" w:color="auto"/>
            <w:bottom w:val="none" w:sz="0" w:space="0" w:color="auto"/>
            <w:right w:val="none" w:sz="0" w:space="0" w:color="auto"/>
          </w:divBdr>
        </w:div>
        <w:div w:id="1007636588">
          <w:marLeft w:val="0"/>
          <w:marRight w:val="0"/>
          <w:marTop w:val="0"/>
          <w:marBottom w:val="0"/>
          <w:divBdr>
            <w:top w:val="none" w:sz="0" w:space="0" w:color="auto"/>
            <w:left w:val="none" w:sz="0" w:space="0" w:color="auto"/>
            <w:bottom w:val="none" w:sz="0" w:space="0" w:color="auto"/>
            <w:right w:val="none" w:sz="0" w:space="0" w:color="auto"/>
          </w:divBdr>
        </w:div>
        <w:div w:id="1669477933">
          <w:marLeft w:val="0"/>
          <w:marRight w:val="0"/>
          <w:marTop w:val="0"/>
          <w:marBottom w:val="0"/>
          <w:divBdr>
            <w:top w:val="none" w:sz="0" w:space="0" w:color="auto"/>
            <w:left w:val="none" w:sz="0" w:space="0" w:color="auto"/>
            <w:bottom w:val="none" w:sz="0" w:space="0" w:color="auto"/>
            <w:right w:val="none" w:sz="0" w:space="0" w:color="auto"/>
          </w:divBdr>
        </w:div>
        <w:div w:id="1728259679">
          <w:marLeft w:val="0"/>
          <w:marRight w:val="0"/>
          <w:marTop w:val="0"/>
          <w:marBottom w:val="0"/>
          <w:divBdr>
            <w:top w:val="none" w:sz="0" w:space="0" w:color="auto"/>
            <w:left w:val="none" w:sz="0" w:space="0" w:color="auto"/>
            <w:bottom w:val="none" w:sz="0" w:space="0" w:color="auto"/>
            <w:right w:val="none" w:sz="0" w:space="0" w:color="auto"/>
          </w:divBdr>
        </w:div>
        <w:div w:id="471406820">
          <w:marLeft w:val="0"/>
          <w:marRight w:val="0"/>
          <w:marTop w:val="0"/>
          <w:marBottom w:val="0"/>
          <w:divBdr>
            <w:top w:val="none" w:sz="0" w:space="0" w:color="auto"/>
            <w:left w:val="none" w:sz="0" w:space="0" w:color="auto"/>
            <w:bottom w:val="none" w:sz="0" w:space="0" w:color="auto"/>
            <w:right w:val="none" w:sz="0" w:space="0" w:color="auto"/>
          </w:divBdr>
        </w:div>
        <w:div w:id="1616714061">
          <w:marLeft w:val="0"/>
          <w:marRight w:val="0"/>
          <w:marTop w:val="0"/>
          <w:marBottom w:val="0"/>
          <w:divBdr>
            <w:top w:val="none" w:sz="0" w:space="0" w:color="auto"/>
            <w:left w:val="none" w:sz="0" w:space="0" w:color="auto"/>
            <w:bottom w:val="none" w:sz="0" w:space="0" w:color="auto"/>
            <w:right w:val="none" w:sz="0" w:space="0" w:color="auto"/>
          </w:divBdr>
        </w:div>
        <w:div w:id="502429635">
          <w:marLeft w:val="0"/>
          <w:marRight w:val="0"/>
          <w:marTop w:val="0"/>
          <w:marBottom w:val="0"/>
          <w:divBdr>
            <w:top w:val="none" w:sz="0" w:space="0" w:color="auto"/>
            <w:left w:val="none" w:sz="0" w:space="0" w:color="auto"/>
            <w:bottom w:val="none" w:sz="0" w:space="0" w:color="auto"/>
            <w:right w:val="none" w:sz="0" w:space="0" w:color="auto"/>
          </w:divBdr>
        </w:div>
        <w:div w:id="398788270">
          <w:marLeft w:val="0"/>
          <w:marRight w:val="0"/>
          <w:marTop w:val="0"/>
          <w:marBottom w:val="0"/>
          <w:divBdr>
            <w:top w:val="none" w:sz="0" w:space="0" w:color="auto"/>
            <w:left w:val="none" w:sz="0" w:space="0" w:color="auto"/>
            <w:bottom w:val="none" w:sz="0" w:space="0" w:color="auto"/>
            <w:right w:val="none" w:sz="0" w:space="0" w:color="auto"/>
          </w:divBdr>
        </w:div>
        <w:div w:id="1260481847">
          <w:marLeft w:val="0"/>
          <w:marRight w:val="0"/>
          <w:marTop w:val="0"/>
          <w:marBottom w:val="0"/>
          <w:divBdr>
            <w:top w:val="none" w:sz="0" w:space="0" w:color="auto"/>
            <w:left w:val="none" w:sz="0" w:space="0" w:color="auto"/>
            <w:bottom w:val="none" w:sz="0" w:space="0" w:color="auto"/>
            <w:right w:val="none" w:sz="0" w:space="0" w:color="auto"/>
          </w:divBdr>
        </w:div>
        <w:div w:id="62141111">
          <w:marLeft w:val="0"/>
          <w:marRight w:val="0"/>
          <w:marTop w:val="0"/>
          <w:marBottom w:val="0"/>
          <w:divBdr>
            <w:top w:val="none" w:sz="0" w:space="0" w:color="auto"/>
            <w:left w:val="none" w:sz="0" w:space="0" w:color="auto"/>
            <w:bottom w:val="none" w:sz="0" w:space="0" w:color="auto"/>
            <w:right w:val="none" w:sz="0" w:space="0" w:color="auto"/>
          </w:divBdr>
        </w:div>
        <w:div w:id="675116621">
          <w:marLeft w:val="0"/>
          <w:marRight w:val="0"/>
          <w:marTop w:val="0"/>
          <w:marBottom w:val="0"/>
          <w:divBdr>
            <w:top w:val="none" w:sz="0" w:space="0" w:color="auto"/>
            <w:left w:val="none" w:sz="0" w:space="0" w:color="auto"/>
            <w:bottom w:val="none" w:sz="0" w:space="0" w:color="auto"/>
            <w:right w:val="none" w:sz="0" w:space="0" w:color="auto"/>
          </w:divBdr>
        </w:div>
        <w:div w:id="219370684">
          <w:marLeft w:val="0"/>
          <w:marRight w:val="0"/>
          <w:marTop w:val="0"/>
          <w:marBottom w:val="0"/>
          <w:divBdr>
            <w:top w:val="none" w:sz="0" w:space="0" w:color="auto"/>
            <w:left w:val="none" w:sz="0" w:space="0" w:color="auto"/>
            <w:bottom w:val="none" w:sz="0" w:space="0" w:color="auto"/>
            <w:right w:val="none" w:sz="0" w:space="0" w:color="auto"/>
          </w:divBdr>
        </w:div>
        <w:div w:id="1400594220">
          <w:marLeft w:val="0"/>
          <w:marRight w:val="0"/>
          <w:marTop w:val="0"/>
          <w:marBottom w:val="0"/>
          <w:divBdr>
            <w:top w:val="none" w:sz="0" w:space="0" w:color="auto"/>
            <w:left w:val="none" w:sz="0" w:space="0" w:color="auto"/>
            <w:bottom w:val="none" w:sz="0" w:space="0" w:color="auto"/>
            <w:right w:val="none" w:sz="0" w:space="0" w:color="auto"/>
          </w:divBdr>
        </w:div>
        <w:div w:id="987827106">
          <w:marLeft w:val="0"/>
          <w:marRight w:val="0"/>
          <w:marTop w:val="0"/>
          <w:marBottom w:val="0"/>
          <w:divBdr>
            <w:top w:val="none" w:sz="0" w:space="0" w:color="auto"/>
            <w:left w:val="none" w:sz="0" w:space="0" w:color="auto"/>
            <w:bottom w:val="none" w:sz="0" w:space="0" w:color="auto"/>
            <w:right w:val="none" w:sz="0" w:space="0" w:color="auto"/>
          </w:divBdr>
        </w:div>
        <w:div w:id="1307857278">
          <w:marLeft w:val="0"/>
          <w:marRight w:val="0"/>
          <w:marTop w:val="0"/>
          <w:marBottom w:val="0"/>
          <w:divBdr>
            <w:top w:val="none" w:sz="0" w:space="0" w:color="auto"/>
            <w:left w:val="none" w:sz="0" w:space="0" w:color="auto"/>
            <w:bottom w:val="none" w:sz="0" w:space="0" w:color="auto"/>
            <w:right w:val="none" w:sz="0" w:space="0" w:color="auto"/>
          </w:divBdr>
        </w:div>
        <w:div w:id="1791850298">
          <w:marLeft w:val="0"/>
          <w:marRight w:val="0"/>
          <w:marTop w:val="0"/>
          <w:marBottom w:val="0"/>
          <w:divBdr>
            <w:top w:val="none" w:sz="0" w:space="0" w:color="auto"/>
            <w:left w:val="none" w:sz="0" w:space="0" w:color="auto"/>
            <w:bottom w:val="none" w:sz="0" w:space="0" w:color="auto"/>
            <w:right w:val="none" w:sz="0" w:space="0" w:color="auto"/>
          </w:divBdr>
        </w:div>
        <w:div w:id="101919850">
          <w:marLeft w:val="0"/>
          <w:marRight w:val="0"/>
          <w:marTop w:val="0"/>
          <w:marBottom w:val="0"/>
          <w:divBdr>
            <w:top w:val="none" w:sz="0" w:space="0" w:color="auto"/>
            <w:left w:val="none" w:sz="0" w:space="0" w:color="auto"/>
            <w:bottom w:val="none" w:sz="0" w:space="0" w:color="auto"/>
            <w:right w:val="none" w:sz="0" w:space="0" w:color="auto"/>
          </w:divBdr>
        </w:div>
        <w:div w:id="1852257829">
          <w:marLeft w:val="0"/>
          <w:marRight w:val="0"/>
          <w:marTop w:val="0"/>
          <w:marBottom w:val="0"/>
          <w:divBdr>
            <w:top w:val="none" w:sz="0" w:space="0" w:color="auto"/>
            <w:left w:val="none" w:sz="0" w:space="0" w:color="auto"/>
            <w:bottom w:val="none" w:sz="0" w:space="0" w:color="auto"/>
            <w:right w:val="none" w:sz="0" w:space="0" w:color="auto"/>
          </w:divBdr>
        </w:div>
        <w:div w:id="998196888">
          <w:marLeft w:val="0"/>
          <w:marRight w:val="0"/>
          <w:marTop w:val="0"/>
          <w:marBottom w:val="0"/>
          <w:divBdr>
            <w:top w:val="none" w:sz="0" w:space="0" w:color="auto"/>
            <w:left w:val="none" w:sz="0" w:space="0" w:color="auto"/>
            <w:bottom w:val="none" w:sz="0" w:space="0" w:color="auto"/>
            <w:right w:val="none" w:sz="0" w:space="0" w:color="auto"/>
          </w:divBdr>
        </w:div>
        <w:div w:id="1328824952">
          <w:marLeft w:val="0"/>
          <w:marRight w:val="0"/>
          <w:marTop w:val="0"/>
          <w:marBottom w:val="0"/>
          <w:divBdr>
            <w:top w:val="none" w:sz="0" w:space="0" w:color="auto"/>
            <w:left w:val="none" w:sz="0" w:space="0" w:color="auto"/>
            <w:bottom w:val="none" w:sz="0" w:space="0" w:color="auto"/>
            <w:right w:val="none" w:sz="0" w:space="0" w:color="auto"/>
          </w:divBdr>
        </w:div>
        <w:div w:id="563181063">
          <w:marLeft w:val="0"/>
          <w:marRight w:val="0"/>
          <w:marTop w:val="0"/>
          <w:marBottom w:val="0"/>
          <w:divBdr>
            <w:top w:val="none" w:sz="0" w:space="0" w:color="auto"/>
            <w:left w:val="none" w:sz="0" w:space="0" w:color="auto"/>
            <w:bottom w:val="none" w:sz="0" w:space="0" w:color="auto"/>
            <w:right w:val="none" w:sz="0" w:space="0" w:color="auto"/>
          </w:divBdr>
        </w:div>
        <w:div w:id="263072125">
          <w:marLeft w:val="0"/>
          <w:marRight w:val="0"/>
          <w:marTop w:val="0"/>
          <w:marBottom w:val="0"/>
          <w:divBdr>
            <w:top w:val="none" w:sz="0" w:space="0" w:color="auto"/>
            <w:left w:val="none" w:sz="0" w:space="0" w:color="auto"/>
            <w:bottom w:val="none" w:sz="0" w:space="0" w:color="auto"/>
            <w:right w:val="none" w:sz="0" w:space="0" w:color="auto"/>
          </w:divBdr>
        </w:div>
        <w:div w:id="819420129">
          <w:marLeft w:val="0"/>
          <w:marRight w:val="0"/>
          <w:marTop w:val="0"/>
          <w:marBottom w:val="0"/>
          <w:divBdr>
            <w:top w:val="none" w:sz="0" w:space="0" w:color="auto"/>
            <w:left w:val="none" w:sz="0" w:space="0" w:color="auto"/>
            <w:bottom w:val="none" w:sz="0" w:space="0" w:color="auto"/>
            <w:right w:val="none" w:sz="0" w:space="0" w:color="auto"/>
          </w:divBdr>
        </w:div>
        <w:div w:id="2031098853">
          <w:marLeft w:val="0"/>
          <w:marRight w:val="0"/>
          <w:marTop w:val="0"/>
          <w:marBottom w:val="0"/>
          <w:divBdr>
            <w:top w:val="none" w:sz="0" w:space="0" w:color="auto"/>
            <w:left w:val="none" w:sz="0" w:space="0" w:color="auto"/>
            <w:bottom w:val="none" w:sz="0" w:space="0" w:color="auto"/>
            <w:right w:val="none" w:sz="0" w:space="0" w:color="auto"/>
          </w:divBdr>
        </w:div>
        <w:div w:id="541327445">
          <w:marLeft w:val="0"/>
          <w:marRight w:val="0"/>
          <w:marTop w:val="0"/>
          <w:marBottom w:val="0"/>
          <w:divBdr>
            <w:top w:val="none" w:sz="0" w:space="0" w:color="auto"/>
            <w:left w:val="none" w:sz="0" w:space="0" w:color="auto"/>
            <w:bottom w:val="none" w:sz="0" w:space="0" w:color="auto"/>
            <w:right w:val="none" w:sz="0" w:space="0" w:color="auto"/>
          </w:divBdr>
        </w:div>
        <w:div w:id="1417675082">
          <w:marLeft w:val="0"/>
          <w:marRight w:val="0"/>
          <w:marTop w:val="0"/>
          <w:marBottom w:val="0"/>
          <w:divBdr>
            <w:top w:val="none" w:sz="0" w:space="0" w:color="auto"/>
            <w:left w:val="none" w:sz="0" w:space="0" w:color="auto"/>
            <w:bottom w:val="none" w:sz="0" w:space="0" w:color="auto"/>
            <w:right w:val="none" w:sz="0" w:space="0" w:color="auto"/>
          </w:divBdr>
        </w:div>
        <w:div w:id="224148589">
          <w:marLeft w:val="0"/>
          <w:marRight w:val="0"/>
          <w:marTop w:val="0"/>
          <w:marBottom w:val="0"/>
          <w:divBdr>
            <w:top w:val="none" w:sz="0" w:space="0" w:color="auto"/>
            <w:left w:val="none" w:sz="0" w:space="0" w:color="auto"/>
            <w:bottom w:val="none" w:sz="0" w:space="0" w:color="auto"/>
            <w:right w:val="none" w:sz="0" w:space="0" w:color="auto"/>
          </w:divBdr>
        </w:div>
        <w:div w:id="886452556">
          <w:marLeft w:val="0"/>
          <w:marRight w:val="0"/>
          <w:marTop w:val="0"/>
          <w:marBottom w:val="0"/>
          <w:divBdr>
            <w:top w:val="none" w:sz="0" w:space="0" w:color="auto"/>
            <w:left w:val="none" w:sz="0" w:space="0" w:color="auto"/>
            <w:bottom w:val="none" w:sz="0" w:space="0" w:color="auto"/>
            <w:right w:val="none" w:sz="0" w:space="0" w:color="auto"/>
          </w:divBdr>
        </w:div>
        <w:div w:id="1400442708">
          <w:marLeft w:val="0"/>
          <w:marRight w:val="0"/>
          <w:marTop w:val="0"/>
          <w:marBottom w:val="0"/>
          <w:divBdr>
            <w:top w:val="none" w:sz="0" w:space="0" w:color="auto"/>
            <w:left w:val="none" w:sz="0" w:space="0" w:color="auto"/>
            <w:bottom w:val="none" w:sz="0" w:space="0" w:color="auto"/>
            <w:right w:val="none" w:sz="0" w:space="0" w:color="auto"/>
          </w:divBdr>
        </w:div>
        <w:div w:id="403184042">
          <w:marLeft w:val="0"/>
          <w:marRight w:val="0"/>
          <w:marTop w:val="0"/>
          <w:marBottom w:val="0"/>
          <w:divBdr>
            <w:top w:val="none" w:sz="0" w:space="0" w:color="auto"/>
            <w:left w:val="none" w:sz="0" w:space="0" w:color="auto"/>
            <w:bottom w:val="none" w:sz="0" w:space="0" w:color="auto"/>
            <w:right w:val="none" w:sz="0" w:space="0" w:color="auto"/>
          </w:divBdr>
        </w:div>
        <w:div w:id="827018198">
          <w:marLeft w:val="0"/>
          <w:marRight w:val="0"/>
          <w:marTop w:val="0"/>
          <w:marBottom w:val="0"/>
          <w:divBdr>
            <w:top w:val="none" w:sz="0" w:space="0" w:color="auto"/>
            <w:left w:val="none" w:sz="0" w:space="0" w:color="auto"/>
            <w:bottom w:val="none" w:sz="0" w:space="0" w:color="auto"/>
            <w:right w:val="none" w:sz="0" w:space="0" w:color="auto"/>
          </w:divBdr>
        </w:div>
        <w:div w:id="2047753434">
          <w:marLeft w:val="0"/>
          <w:marRight w:val="0"/>
          <w:marTop w:val="0"/>
          <w:marBottom w:val="0"/>
          <w:divBdr>
            <w:top w:val="none" w:sz="0" w:space="0" w:color="auto"/>
            <w:left w:val="none" w:sz="0" w:space="0" w:color="auto"/>
            <w:bottom w:val="none" w:sz="0" w:space="0" w:color="auto"/>
            <w:right w:val="none" w:sz="0" w:space="0" w:color="auto"/>
          </w:divBdr>
        </w:div>
        <w:div w:id="172425391">
          <w:marLeft w:val="0"/>
          <w:marRight w:val="0"/>
          <w:marTop w:val="0"/>
          <w:marBottom w:val="0"/>
          <w:divBdr>
            <w:top w:val="none" w:sz="0" w:space="0" w:color="auto"/>
            <w:left w:val="none" w:sz="0" w:space="0" w:color="auto"/>
            <w:bottom w:val="none" w:sz="0" w:space="0" w:color="auto"/>
            <w:right w:val="none" w:sz="0" w:space="0" w:color="auto"/>
          </w:divBdr>
        </w:div>
        <w:div w:id="911891601">
          <w:marLeft w:val="0"/>
          <w:marRight w:val="0"/>
          <w:marTop w:val="0"/>
          <w:marBottom w:val="0"/>
          <w:divBdr>
            <w:top w:val="none" w:sz="0" w:space="0" w:color="auto"/>
            <w:left w:val="none" w:sz="0" w:space="0" w:color="auto"/>
            <w:bottom w:val="none" w:sz="0" w:space="0" w:color="auto"/>
            <w:right w:val="none" w:sz="0" w:space="0" w:color="auto"/>
          </w:divBdr>
        </w:div>
        <w:div w:id="1154178908">
          <w:marLeft w:val="0"/>
          <w:marRight w:val="0"/>
          <w:marTop w:val="0"/>
          <w:marBottom w:val="0"/>
          <w:divBdr>
            <w:top w:val="none" w:sz="0" w:space="0" w:color="auto"/>
            <w:left w:val="none" w:sz="0" w:space="0" w:color="auto"/>
            <w:bottom w:val="none" w:sz="0" w:space="0" w:color="auto"/>
            <w:right w:val="none" w:sz="0" w:space="0" w:color="auto"/>
          </w:divBdr>
        </w:div>
        <w:div w:id="2016876815">
          <w:marLeft w:val="0"/>
          <w:marRight w:val="0"/>
          <w:marTop w:val="0"/>
          <w:marBottom w:val="0"/>
          <w:divBdr>
            <w:top w:val="none" w:sz="0" w:space="0" w:color="auto"/>
            <w:left w:val="none" w:sz="0" w:space="0" w:color="auto"/>
            <w:bottom w:val="none" w:sz="0" w:space="0" w:color="auto"/>
            <w:right w:val="none" w:sz="0" w:space="0" w:color="auto"/>
          </w:divBdr>
        </w:div>
        <w:div w:id="1433739709">
          <w:marLeft w:val="0"/>
          <w:marRight w:val="0"/>
          <w:marTop w:val="0"/>
          <w:marBottom w:val="0"/>
          <w:divBdr>
            <w:top w:val="none" w:sz="0" w:space="0" w:color="auto"/>
            <w:left w:val="none" w:sz="0" w:space="0" w:color="auto"/>
            <w:bottom w:val="none" w:sz="0" w:space="0" w:color="auto"/>
            <w:right w:val="none" w:sz="0" w:space="0" w:color="auto"/>
          </w:divBdr>
        </w:div>
        <w:div w:id="1957983964">
          <w:marLeft w:val="0"/>
          <w:marRight w:val="0"/>
          <w:marTop w:val="0"/>
          <w:marBottom w:val="0"/>
          <w:divBdr>
            <w:top w:val="none" w:sz="0" w:space="0" w:color="auto"/>
            <w:left w:val="none" w:sz="0" w:space="0" w:color="auto"/>
            <w:bottom w:val="none" w:sz="0" w:space="0" w:color="auto"/>
            <w:right w:val="none" w:sz="0" w:space="0" w:color="auto"/>
          </w:divBdr>
        </w:div>
        <w:div w:id="2029526614">
          <w:marLeft w:val="0"/>
          <w:marRight w:val="0"/>
          <w:marTop w:val="0"/>
          <w:marBottom w:val="0"/>
          <w:divBdr>
            <w:top w:val="none" w:sz="0" w:space="0" w:color="auto"/>
            <w:left w:val="none" w:sz="0" w:space="0" w:color="auto"/>
            <w:bottom w:val="none" w:sz="0" w:space="0" w:color="auto"/>
            <w:right w:val="none" w:sz="0" w:space="0" w:color="auto"/>
          </w:divBdr>
        </w:div>
        <w:div w:id="1404445674">
          <w:marLeft w:val="0"/>
          <w:marRight w:val="0"/>
          <w:marTop w:val="0"/>
          <w:marBottom w:val="0"/>
          <w:divBdr>
            <w:top w:val="none" w:sz="0" w:space="0" w:color="auto"/>
            <w:left w:val="none" w:sz="0" w:space="0" w:color="auto"/>
            <w:bottom w:val="none" w:sz="0" w:space="0" w:color="auto"/>
            <w:right w:val="none" w:sz="0" w:space="0" w:color="auto"/>
          </w:divBdr>
        </w:div>
        <w:div w:id="1800027137">
          <w:marLeft w:val="0"/>
          <w:marRight w:val="0"/>
          <w:marTop w:val="0"/>
          <w:marBottom w:val="0"/>
          <w:divBdr>
            <w:top w:val="none" w:sz="0" w:space="0" w:color="auto"/>
            <w:left w:val="none" w:sz="0" w:space="0" w:color="auto"/>
            <w:bottom w:val="none" w:sz="0" w:space="0" w:color="auto"/>
            <w:right w:val="none" w:sz="0" w:space="0" w:color="auto"/>
          </w:divBdr>
        </w:div>
        <w:div w:id="66076637">
          <w:marLeft w:val="0"/>
          <w:marRight w:val="0"/>
          <w:marTop w:val="0"/>
          <w:marBottom w:val="0"/>
          <w:divBdr>
            <w:top w:val="none" w:sz="0" w:space="0" w:color="auto"/>
            <w:left w:val="none" w:sz="0" w:space="0" w:color="auto"/>
            <w:bottom w:val="none" w:sz="0" w:space="0" w:color="auto"/>
            <w:right w:val="none" w:sz="0" w:space="0" w:color="auto"/>
          </w:divBdr>
        </w:div>
        <w:div w:id="706761955">
          <w:marLeft w:val="0"/>
          <w:marRight w:val="0"/>
          <w:marTop w:val="0"/>
          <w:marBottom w:val="0"/>
          <w:divBdr>
            <w:top w:val="none" w:sz="0" w:space="0" w:color="auto"/>
            <w:left w:val="none" w:sz="0" w:space="0" w:color="auto"/>
            <w:bottom w:val="none" w:sz="0" w:space="0" w:color="auto"/>
            <w:right w:val="none" w:sz="0" w:space="0" w:color="auto"/>
          </w:divBdr>
        </w:div>
        <w:div w:id="666859506">
          <w:marLeft w:val="0"/>
          <w:marRight w:val="0"/>
          <w:marTop w:val="0"/>
          <w:marBottom w:val="0"/>
          <w:divBdr>
            <w:top w:val="none" w:sz="0" w:space="0" w:color="auto"/>
            <w:left w:val="none" w:sz="0" w:space="0" w:color="auto"/>
            <w:bottom w:val="none" w:sz="0" w:space="0" w:color="auto"/>
            <w:right w:val="none" w:sz="0" w:space="0" w:color="auto"/>
          </w:divBdr>
        </w:div>
        <w:div w:id="774903822">
          <w:marLeft w:val="0"/>
          <w:marRight w:val="0"/>
          <w:marTop w:val="0"/>
          <w:marBottom w:val="0"/>
          <w:divBdr>
            <w:top w:val="none" w:sz="0" w:space="0" w:color="auto"/>
            <w:left w:val="none" w:sz="0" w:space="0" w:color="auto"/>
            <w:bottom w:val="none" w:sz="0" w:space="0" w:color="auto"/>
            <w:right w:val="none" w:sz="0" w:space="0" w:color="auto"/>
          </w:divBdr>
        </w:div>
        <w:div w:id="1759525137">
          <w:marLeft w:val="0"/>
          <w:marRight w:val="0"/>
          <w:marTop w:val="0"/>
          <w:marBottom w:val="0"/>
          <w:divBdr>
            <w:top w:val="none" w:sz="0" w:space="0" w:color="auto"/>
            <w:left w:val="none" w:sz="0" w:space="0" w:color="auto"/>
            <w:bottom w:val="none" w:sz="0" w:space="0" w:color="auto"/>
            <w:right w:val="none" w:sz="0" w:space="0" w:color="auto"/>
          </w:divBdr>
        </w:div>
        <w:div w:id="1293558741">
          <w:marLeft w:val="0"/>
          <w:marRight w:val="0"/>
          <w:marTop w:val="0"/>
          <w:marBottom w:val="0"/>
          <w:divBdr>
            <w:top w:val="none" w:sz="0" w:space="0" w:color="auto"/>
            <w:left w:val="none" w:sz="0" w:space="0" w:color="auto"/>
            <w:bottom w:val="none" w:sz="0" w:space="0" w:color="auto"/>
            <w:right w:val="none" w:sz="0" w:space="0" w:color="auto"/>
          </w:divBdr>
        </w:div>
        <w:div w:id="636110496">
          <w:marLeft w:val="0"/>
          <w:marRight w:val="0"/>
          <w:marTop w:val="0"/>
          <w:marBottom w:val="0"/>
          <w:divBdr>
            <w:top w:val="none" w:sz="0" w:space="0" w:color="auto"/>
            <w:left w:val="none" w:sz="0" w:space="0" w:color="auto"/>
            <w:bottom w:val="none" w:sz="0" w:space="0" w:color="auto"/>
            <w:right w:val="none" w:sz="0" w:space="0" w:color="auto"/>
          </w:divBdr>
        </w:div>
        <w:div w:id="1949463968">
          <w:marLeft w:val="0"/>
          <w:marRight w:val="0"/>
          <w:marTop w:val="0"/>
          <w:marBottom w:val="0"/>
          <w:divBdr>
            <w:top w:val="none" w:sz="0" w:space="0" w:color="auto"/>
            <w:left w:val="none" w:sz="0" w:space="0" w:color="auto"/>
            <w:bottom w:val="none" w:sz="0" w:space="0" w:color="auto"/>
            <w:right w:val="none" w:sz="0" w:space="0" w:color="auto"/>
          </w:divBdr>
        </w:div>
        <w:div w:id="624240399">
          <w:marLeft w:val="0"/>
          <w:marRight w:val="0"/>
          <w:marTop w:val="0"/>
          <w:marBottom w:val="0"/>
          <w:divBdr>
            <w:top w:val="none" w:sz="0" w:space="0" w:color="auto"/>
            <w:left w:val="none" w:sz="0" w:space="0" w:color="auto"/>
            <w:bottom w:val="none" w:sz="0" w:space="0" w:color="auto"/>
            <w:right w:val="none" w:sz="0" w:space="0" w:color="auto"/>
          </w:divBdr>
        </w:div>
        <w:div w:id="2146123833">
          <w:marLeft w:val="0"/>
          <w:marRight w:val="0"/>
          <w:marTop w:val="0"/>
          <w:marBottom w:val="0"/>
          <w:divBdr>
            <w:top w:val="none" w:sz="0" w:space="0" w:color="auto"/>
            <w:left w:val="none" w:sz="0" w:space="0" w:color="auto"/>
            <w:bottom w:val="none" w:sz="0" w:space="0" w:color="auto"/>
            <w:right w:val="none" w:sz="0" w:space="0" w:color="auto"/>
          </w:divBdr>
        </w:div>
        <w:div w:id="1430350446">
          <w:marLeft w:val="0"/>
          <w:marRight w:val="0"/>
          <w:marTop w:val="0"/>
          <w:marBottom w:val="0"/>
          <w:divBdr>
            <w:top w:val="none" w:sz="0" w:space="0" w:color="auto"/>
            <w:left w:val="none" w:sz="0" w:space="0" w:color="auto"/>
            <w:bottom w:val="none" w:sz="0" w:space="0" w:color="auto"/>
            <w:right w:val="none" w:sz="0" w:space="0" w:color="auto"/>
          </w:divBdr>
        </w:div>
        <w:div w:id="579874574">
          <w:marLeft w:val="0"/>
          <w:marRight w:val="0"/>
          <w:marTop w:val="0"/>
          <w:marBottom w:val="0"/>
          <w:divBdr>
            <w:top w:val="none" w:sz="0" w:space="0" w:color="auto"/>
            <w:left w:val="none" w:sz="0" w:space="0" w:color="auto"/>
            <w:bottom w:val="none" w:sz="0" w:space="0" w:color="auto"/>
            <w:right w:val="none" w:sz="0" w:space="0" w:color="auto"/>
          </w:divBdr>
        </w:div>
        <w:div w:id="1263299228">
          <w:marLeft w:val="0"/>
          <w:marRight w:val="0"/>
          <w:marTop w:val="0"/>
          <w:marBottom w:val="0"/>
          <w:divBdr>
            <w:top w:val="none" w:sz="0" w:space="0" w:color="auto"/>
            <w:left w:val="none" w:sz="0" w:space="0" w:color="auto"/>
            <w:bottom w:val="none" w:sz="0" w:space="0" w:color="auto"/>
            <w:right w:val="none" w:sz="0" w:space="0" w:color="auto"/>
          </w:divBdr>
        </w:div>
        <w:div w:id="222759784">
          <w:marLeft w:val="0"/>
          <w:marRight w:val="0"/>
          <w:marTop w:val="0"/>
          <w:marBottom w:val="0"/>
          <w:divBdr>
            <w:top w:val="none" w:sz="0" w:space="0" w:color="auto"/>
            <w:left w:val="none" w:sz="0" w:space="0" w:color="auto"/>
            <w:bottom w:val="none" w:sz="0" w:space="0" w:color="auto"/>
            <w:right w:val="none" w:sz="0" w:space="0" w:color="auto"/>
          </w:divBdr>
        </w:div>
        <w:div w:id="525369195">
          <w:marLeft w:val="0"/>
          <w:marRight w:val="0"/>
          <w:marTop w:val="0"/>
          <w:marBottom w:val="0"/>
          <w:divBdr>
            <w:top w:val="none" w:sz="0" w:space="0" w:color="auto"/>
            <w:left w:val="none" w:sz="0" w:space="0" w:color="auto"/>
            <w:bottom w:val="none" w:sz="0" w:space="0" w:color="auto"/>
            <w:right w:val="none" w:sz="0" w:space="0" w:color="auto"/>
          </w:divBdr>
        </w:div>
        <w:div w:id="1649089720">
          <w:marLeft w:val="0"/>
          <w:marRight w:val="0"/>
          <w:marTop w:val="0"/>
          <w:marBottom w:val="0"/>
          <w:divBdr>
            <w:top w:val="none" w:sz="0" w:space="0" w:color="auto"/>
            <w:left w:val="none" w:sz="0" w:space="0" w:color="auto"/>
            <w:bottom w:val="none" w:sz="0" w:space="0" w:color="auto"/>
            <w:right w:val="none" w:sz="0" w:space="0" w:color="auto"/>
          </w:divBdr>
        </w:div>
        <w:div w:id="1447236116">
          <w:marLeft w:val="0"/>
          <w:marRight w:val="0"/>
          <w:marTop w:val="0"/>
          <w:marBottom w:val="0"/>
          <w:divBdr>
            <w:top w:val="none" w:sz="0" w:space="0" w:color="auto"/>
            <w:left w:val="none" w:sz="0" w:space="0" w:color="auto"/>
            <w:bottom w:val="none" w:sz="0" w:space="0" w:color="auto"/>
            <w:right w:val="none" w:sz="0" w:space="0" w:color="auto"/>
          </w:divBdr>
        </w:div>
        <w:div w:id="649794003">
          <w:marLeft w:val="0"/>
          <w:marRight w:val="0"/>
          <w:marTop w:val="0"/>
          <w:marBottom w:val="0"/>
          <w:divBdr>
            <w:top w:val="none" w:sz="0" w:space="0" w:color="auto"/>
            <w:left w:val="none" w:sz="0" w:space="0" w:color="auto"/>
            <w:bottom w:val="none" w:sz="0" w:space="0" w:color="auto"/>
            <w:right w:val="none" w:sz="0" w:space="0" w:color="auto"/>
          </w:divBdr>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730759468">
      <w:bodyDiv w:val="1"/>
      <w:marLeft w:val="0"/>
      <w:marRight w:val="0"/>
      <w:marTop w:val="0"/>
      <w:marBottom w:val="0"/>
      <w:divBdr>
        <w:top w:val="none" w:sz="0" w:space="0" w:color="auto"/>
        <w:left w:val="none" w:sz="0" w:space="0" w:color="auto"/>
        <w:bottom w:val="none" w:sz="0" w:space="0" w:color="auto"/>
        <w:right w:val="none" w:sz="0" w:space="0" w:color="auto"/>
      </w:divBdr>
    </w:div>
    <w:div w:id="18989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bdocs.iadb.org/wsdocs/getdocument.aspx?docnum=943259" TargetMode="External"/><Relationship Id="rId18" Type="http://schemas.openxmlformats.org/officeDocument/2006/relationships/hyperlink" Target="http://www.ec.gba.gov.ar/areas/finanzas/deuda/multilaterales.php"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mp.gba.gov.ar/srei/index.php" TargetMode="External"/><Relationship Id="rId7" Type="http://schemas.openxmlformats.org/officeDocument/2006/relationships/endnotes" Target="endnotes.xml"/><Relationship Id="rId12" Type="http://schemas.openxmlformats.org/officeDocument/2006/relationships/hyperlink" Target="http://www.planalto.gov.br/ccivil_03/Constitui%C3%A7ao.htm" TargetMode="External"/><Relationship Id="rId17" Type="http://schemas.openxmlformats.org/officeDocument/2006/relationships/hyperlink" Target="http://www.mp.gba.gov.ar/srei/index.php"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fgv.br/cpdoc/acervo/dicionarios/verbete-biografico/sergio-de-oliveira-cabral-santos-filho" TargetMode="External"/><Relationship Id="rId20" Type="http://schemas.openxmlformats.org/officeDocument/2006/relationships/hyperlink" Target="http://www.mosp.gba.gov.ar/sitios/ucpo/informacion/asis_bi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gm.gob.ar/"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dx.doi.org/10.5354/0719-3769.2014.30867"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dx.doi.org/10.18235/0000223" TargetMode="External"/><Relationship Id="rId19" Type="http://schemas.openxmlformats.org/officeDocument/2006/relationships/hyperlink" Target="http://www.mosp.gba.gov.ar/sitios/ucpo/informacion/inf_birf_nov11.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adb.org/es/acerca-denosotros/acerca-del-banco-interamericano-de-desarrollo,5995.html" TargetMode="External"/><Relationship Id="rId22" Type="http://schemas.openxmlformats.org/officeDocument/2006/relationships/hyperlink" Target="http://www.redalyc.org/articulo.o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bservatory-elites.org/parliamentary-and-party-elit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E1BF-A7CA-44FD-8A1F-0E6CCBF6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20973</Words>
  <Characters>113259</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Beatriz</dc:creator>
  <cp:lastModifiedBy>05497412750</cp:lastModifiedBy>
  <cp:revision>2</cp:revision>
  <dcterms:created xsi:type="dcterms:W3CDTF">2019-02-07T21:13:00Z</dcterms:created>
  <dcterms:modified xsi:type="dcterms:W3CDTF">2019-02-07T21:13:00Z</dcterms:modified>
</cp:coreProperties>
</file>