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9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5989"/>
        <w:gridCol w:w="255"/>
        <w:gridCol w:w="3855"/>
        <w:tblGridChange w:id="0">
          <w:tblGrid>
            <w:gridCol w:w="5989"/>
            <w:gridCol w:w="255"/>
            <w:gridCol w:w="3855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ESTADO DO RIO DE JANEIRO (UNIRIO)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</wp:posOffset>
                  </wp:positionH>
                  <wp:positionV relativeFrom="paragraph">
                    <wp:posOffset>-12696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descr="UNIRIO Mini" id="6" name="image1.png"/>
                  <a:graphic>
                    <a:graphicData uri="http://schemas.openxmlformats.org/drawingml/2006/picture">
                      <pic:pic>
                        <pic:nvPicPr>
                          <pic:cNvPr descr="UNIRIO Mini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Graduação em Música: Licenciatura; Bacharelado em Música Popular Brasileira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Arranjo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3"/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EDUCAÇÃO MUSICAL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HARMONIA POPULAR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III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9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SIGLA: H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III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AEM0144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30 hs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 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HARP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Estudo teórico e analítico da harmonia tonal e modal, com ênfase na perspectiva</w:t>
            </w:r>
          </w:p>
          <w:p w:rsidR="00000000" w:rsidDel="00000000" w:rsidP="00000000" w:rsidRDefault="00000000" w:rsidRPr="00000000" w14:paraId="0000001A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funcional, tal como se origina, se desenvolve e se sistematiza na Europa, e se difunde e se </w:t>
            </w:r>
          </w:p>
          <w:p w:rsidR="00000000" w:rsidDel="00000000" w:rsidP="00000000" w:rsidRDefault="00000000" w:rsidRPr="00000000" w14:paraId="0000001B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diversifica na música popular ocidental desde o séc. XIX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DA DISCIPLINA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1.Apresentar os componentes harmônicos da música tonal e modal, através de repertório de “prática comum” da música occidental e popular</w:t>
            </w:r>
          </w:p>
          <w:p w:rsidR="00000000" w:rsidDel="00000000" w:rsidP="00000000" w:rsidRDefault="00000000" w:rsidRPr="00000000" w14:paraId="00000020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Preparar o/a aluno/a para fazer comunicações orais e escritas coerentes sobre tópicos de</w:t>
            </w:r>
          </w:p>
          <w:p w:rsidR="00000000" w:rsidDel="00000000" w:rsidP="00000000" w:rsidRDefault="00000000" w:rsidRPr="00000000" w14:paraId="00000021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análise que mostram a compreensão e a habilidade de utilizar as ferramentas e abordagens apresentadas na disciplina.</w:t>
            </w:r>
          </w:p>
          <w:p w:rsidR="00000000" w:rsidDel="00000000" w:rsidP="00000000" w:rsidRDefault="00000000" w:rsidRPr="00000000" w14:paraId="00000022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 Familiarizar o/a aluno/a como repertório e referências bibliográficas essenciais e atuais</w:t>
            </w:r>
          </w:p>
          <w:p w:rsidR="00000000" w:rsidDel="00000000" w:rsidP="00000000" w:rsidRDefault="00000000" w:rsidRPr="00000000" w14:paraId="00000023">
            <w:pPr>
              <w:widowControl w:val="0"/>
              <w:ind w:right="-141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Exposição teórica, audições e análises coletivas, elaboração de tarefas e projetos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Análise e aplicação de sistema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chord-scale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na canção e estruturas de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repertório popular [ex. Luisa (Jobim), Georgia (Carmichael), I Concentrate on You,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(Porter) Beijo Partido (Horta), Blue in Green (Evans].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Ciclos harmônicos comuns (ex. blues,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I’ve Got Rhythm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Giant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Steps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); introdução do improviso através de escala como expressão de acorde (sistema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chord-scale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Análise harmônica e melódica de Repertório de música do concerto occidental (Chopin: Prelúdios; Brahms: Intermezzi, Liszt: Consolações, Wagner: Tristan e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ind w:left="7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Isolde, peças de Ravel, Debussy)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Transformar progressões harmônicas cifradas em condução de  4 vozes (ou mais no caso de uso de 9, 11, 13 como consonância) para facilitar análise harmônica e melódica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Elaboração melódica das conduções de vozes:preparação para disciplina de arranjo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Análise melódica e harmônica de repertório de música do concerto occidental e música popular brasileira, estadunidense e afro-cubana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valiação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contínua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através de testes e tarefas individuais de avaliação de aprendizado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 participação na sala de aula.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Básica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ALMADA, Carlos. Harmonia Funcional. São Paulo : Ed. UNICAMP, 2009.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KOELLREUTTER, Hans J.  Harmonia Funcional - Introdução à teoria das funções harmônicas. São Paulo: Ricordi Brasileira S. A., 1978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KOSTKA, Stefan e Dorothy Payne (trad. Oliveira e Ribeiro). Harmonia Tonal com uma Introdução à Música do Século XX.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Secundária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BENWARD, Bruce and Marilyn Saker. Music in Theory and Practice (Vol. I, 9th ed.).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New York: McGraw Hill, 2015.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BURKHARDT, Charles and William Rothstein. Anthology for Musical Analysis.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Thompson-Schirmer, 2007.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CHEDIAK, Almir. Songbooks Chico Buarque, Choro, Djavan, Ivan Lins, Tom Jobim. Rio de Janeiro: Lumiar Editora.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GREEN, Douglass. Form in tonal music: an introduction to analysis. Fort Worth : Harcourt Brace Jovanovich College Publishers : [s.n.], 1979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GUEST, Ian. Arranjo : método prático. Rio de Janeiro : Lumiar, 1996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SCHOENBERG, Arnold. Harmonia. São Paulo: UNESP,  2001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SCHOENBERG, Arnold. Structural functions of harmony. New York : Norton, 1969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77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Clifford Hill Korman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5e5e5e" w:space="0" w:sz="13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 </w:t>
            </w:r>
          </w:p>
        </w:tc>
        <w:tc>
          <w:tcPr>
            <w:tcBorders>
              <w:left w:color="000000" w:space="0" w:sz="4" w:val="single"/>
              <w:bottom w:color="5e5e5e" w:space="0" w:sz="13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 de agosto de 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18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18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224" w:hanging="504.00000000000006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78C7"/>
    <w:rPr>
      <w:sz w:val="24"/>
      <w:szCs w:val="24"/>
    </w:rPr>
  </w:style>
  <w:style w:type="paragraph" w:styleId="Ttulo3">
    <w:name w:val="heading 3"/>
    <w:basedOn w:val="Normal"/>
    <w:next w:val="Normal"/>
    <w:qFormat w:val="1"/>
    <w:rsid w:val="00B70E5B"/>
    <w:pPr>
      <w:keepNext w:val="1"/>
      <w:numPr>
        <w:ilvl w:val="2"/>
        <w:numId w:val="1"/>
      </w:numPr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EstiloCentralizadoSuperiorSimplesAutomtica075ptLargur" w:customStyle="1">
    <w:name w:val="Estilo Centralizado Superior: (Simples Automática  075 pt Largur..."/>
    <w:basedOn w:val="Normal"/>
    <w:autoRedefine w:val="1"/>
    <w:rsid w:val="00B70E5B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EstiloSubTtulo11Itlico" w:customStyle="1">
    <w:name w:val="Estilo SubTítulo 1.1 + Itálico"/>
    <w:basedOn w:val="Normal"/>
    <w:autoRedefine w:val="1"/>
    <w:rsid w:val="00B70E5B"/>
    <w:pPr>
      <w:tabs>
        <w:tab w:val="left" w:pos="-1985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overflowPunct w:val="0"/>
      <w:autoSpaceDE w:val="0"/>
      <w:autoSpaceDN w:val="0"/>
      <w:adjustRightInd w:val="0"/>
      <w:ind w:left="1276" w:hanging="283"/>
      <w:jc w:val="both"/>
      <w:textAlignment w:val="baseline"/>
    </w:pPr>
    <w:rPr>
      <w:i w:val="1"/>
      <w:iCs w:val="1"/>
      <w:szCs w:val="20"/>
    </w:rPr>
  </w:style>
  <w:style w:type="paragraph" w:styleId="EstiloTtulo3Depoisde6pt" w:customStyle="1">
    <w:name w:val="Estilo Título 3 + Depois de:  6 pt"/>
    <w:basedOn w:val="Ttulo3"/>
    <w:autoRedefine w:val="1"/>
    <w:rsid w:val="00B70E5B"/>
    <w:pPr>
      <w:tabs>
        <w:tab w:val="left" w:pos="1440"/>
      </w:tabs>
      <w:overflowPunct w:val="0"/>
      <w:autoSpaceDE w:val="0"/>
      <w:autoSpaceDN w:val="0"/>
      <w:adjustRightInd w:val="0"/>
      <w:spacing w:after="120"/>
      <w:textAlignment w:val="baseline"/>
    </w:pPr>
    <w:rPr>
      <w:rFonts w:cs="Times New Roman"/>
      <w:szCs w:val="20"/>
    </w:rPr>
  </w:style>
  <w:style w:type="paragraph" w:styleId="Default" w:customStyle="1">
    <w:name w:val="Default"/>
    <w:rsid w:val="00F7504D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Refdecomentrio">
    <w:name w:val="annotation reference"/>
    <w:semiHidden w:val="1"/>
    <w:rsid w:val="009F435F"/>
    <w:rPr>
      <w:sz w:val="16"/>
      <w:szCs w:val="16"/>
    </w:rPr>
  </w:style>
  <w:style w:type="paragraph" w:styleId="Textodecomentrio">
    <w:name w:val="annotation text"/>
    <w:basedOn w:val="Normal"/>
    <w:semiHidden w:val="1"/>
    <w:rsid w:val="009F43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 w:val="1"/>
    <w:rsid w:val="009F435F"/>
    <w:rPr>
      <w:b w:val="1"/>
      <w:bCs w:val="1"/>
    </w:rPr>
  </w:style>
  <w:style w:type="paragraph" w:styleId="Textodebalo">
    <w:name w:val="Balloon Text"/>
    <w:basedOn w:val="Normal"/>
    <w:semiHidden w:val="1"/>
    <w:rsid w:val="009F435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qBgUAvXaVsySIeYwg/88sqCK2w==">CgMxLjAyCGguZ2pkZ3hzOAByITFpYmtMbUM2S0toUkZ0U1RjZ3AxYkE1RFBReGJ4YUtKdA==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2015-05-21T18:25:00Z</dcterms:created>
  <dc:creator>DMP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amento">
    <vt:lpwstr>DMP</vt:lpwstr>
  </property>
  <property fmtid="{D5CDD505-2E9C-101B-9397-08002B2CF9AE}" pid="3" name="Objetivo">
    <vt:lpwstr>Com Base ORDEM DE SERVIÇO PROEG Nº 002, DE 13 MARÇO DE 2000</vt:lpwstr>
  </property>
  <property fmtid="{D5CDD505-2E9C-101B-9397-08002B2CF9AE}" pid="4" name="Proprietário">
    <vt:lpwstr>Com Base ORDEM DE SERVIÇO PROEG Nº 002, DE 13 MARÇO DE 2000</vt:lpwstr>
  </property>
</Properties>
</file>