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5002" w14:textId="77777777" w:rsidR="00FB36DC" w:rsidRDefault="00EA7784">
      <w:pPr>
        <w:pStyle w:val="Corpodetexto"/>
        <w:ind w:left="445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1C977A7" wp14:editId="09001D62">
            <wp:extent cx="459112" cy="3657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1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4878" w14:textId="77777777" w:rsidR="00FB36DC" w:rsidRDefault="00EA7784">
      <w:pPr>
        <w:pStyle w:val="Corpodetexto"/>
        <w:spacing w:before="266"/>
        <w:ind w:left="675" w:right="528"/>
        <w:jc w:val="center"/>
      </w:pPr>
      <w:r>
        <w:t>UNIVERSIDADE</w:t>
      </w:r>
      <w:r w:rsidR="00EA1627">
        <w:t xml:space="preserve"> </w:t>
      </w:r>
      <w:r>
        <w:t>FEDERAL</w:t>
      </w:r>
      <w:r w:rsidR="00EA1627">
        <w:t xml:space="preserve"> </w:t>
      </w:r>
      <w:r>
        <w:t>DO</w:t>
      </w:r>
      <w:r w:rsidR="00EA1627">
        <w:t xml:space="preserve"> </w:t>
      </w:r>
      <w:r>
        <w:t>ESTADO</w:t>
      </w:r>
      <w:r w:rsidR="00EA1627">
        <w:t xml:space="preserve"> </w:t>
      </w:r>
      <w:r>
        <w:t>DO</w:t>
      </w:r>
      <w:r w:rsidR="00EA1627">
        <w:t xml:space="preserve"> </w:t>
      </w:r>
      <w:r>
        <w:t>RIO</w:t>
      </w:r>
      <w:r w:rsidR="00EA1627">
        <w:t xml:space="preserve"> </w:t>
      </w:r>
      <w:r>
        <w:t>DE</w:t>
      </w:r>
      <w:r w:rsidR="00EA1627">
        <w:t xml:space="preserve"> </w:t>
      </w:r>
      <w:r>
        <w:t>JANEIRO -UNIRIO CENTRO DE LETRAS E ARTES</w:t>
      </w:r>
    </w:p>
    <w:p w14:paraId="3CF12B70" w14:textId="77777777" w:rsidR="00FB36DC" w:rsidRDefault="00FB36DC">
      <w:pPr>
        <w:pStyle w:val="Corpodetexto"/>
        <w:ind w:left="675" w:right="532"/>
        <w:jc w:val="center"/>
      </w:pPr>
    </w:p>
    <w:p w14:paraId="0B1C4DAB" w14:textId="77777777" w:rsidR="00FB36DC" w:rsidRDefault="00EA7784">
      <w:pPr>
        <w:pStyle w:val="Corpodetexto"/>
        <w:ind w:left="144"/>
        <w:jc w:val="center"/>
      </w:pPr>
      <w:r>
        <w:t>PPGEAC-PROGRAMA</w:t>
      </w:r>
      <w:r w:rsidR="00EA1627">
        <w:t xml:space="preserve"> </w:t>
      </w:r>
      <w:r>
        <w:t>DE</w:t>
      </w:r>
      <w:r w:rsidR="00EA1627">
        <w:t xml:space="preserve"> </w:t>
      </w:r>
      <w:r>
        <w:t>PÓS-GRADUACÃO</w:t>
      </w:r>
      <w:r w:rsidR="00EA1627">
        <w:t xml:space="preserve"> </w:t>
      </w:r>
      <w:r>
        <w:t>EM</w:t>
      </w:r>
      <w:r w:rsidR="00EA1627">
        <w:t xml:space="preserve"> </w:t>
      </w:r>
      <w:r>
        <w:t>ENSINO</w:t>
      </w:r>
      <w:r w:rsidR="00EA1627">
        <w:t xml:space="preserve"> </w:t>
      </w:r>
      <w:r>
        <w:t xml:space="preserve">DE ARTES </w:t>
      </w:r>
      <w:r>
        <w:rPr>
          <w:spacing w:val="-2"/>
        </w:rPr>
        <w:t>CÊNICAS</w:t>
      </w:r>
    </w:p>
    <w:p w14:paraId="57DC54C3" w14:textId="77777777" w:rsidR="00FB36DC" w:rsidRDefault="00EA7784">
      <w:pPr>
        <w:pStyle w:val="Corpodetexto"/>
        <w:ind w:left="142" w:right="2"/>
        <w:jc w:val="center"/>
      </w:pPr>
      <w:r>
        <w:t>Mestrado</w:t>
      </w:r>
      <w:r>
        <w:rPr>
          <w:spacing w:val="-2"/>
        </w:rPr>
        <w:t xml:space="preserve"> profissional</w:t>
      </w:r>
    </w:p>
    <w:p w14:paraId="3AACAD28" w14:textId="77777777" w:rsidR="00FB36DC" w:rsidRDefault="00FB36DC">
      <w:pPr>
        <w:pStyle w:val="Corpodetexto"/>
        <w:ind w:left="0"/>
      </w:pPr>
    </w:p>
    <w:p w14:paraId="0D7BBC17" w14:textId="77777777" w:rsidR="00FB36DC" w:rsidRDefault="00FB36DC">
      <w:pPr>
        <w:pStyle w:val="Corpodetexto"/>
        <w:ind w:left="0"/>
      </w:pPr>
    </w:p>
    <w:p w14:paraId="5EEB68B0" w14:textId="1AB72CE1" w:rsidR="00EA1627" w:rsidRDefault="00EA7784">
      <w:pPr>
        <w:ind w:left="2" w:right="3900"/>
        <w:rPr>
          <w:b/>
          <w:sz w:val="24"/>
        </w:rPr>
      </w:pPr>
      <w:r>
        <w:rPr>
          <w:b/>
          <w:sz w:val="24"/>
        </w:rPr>
        <w:t>Professor</w:t>
      </w:r>
      <w:r w:rsidR="00084669">
        <w:rPr>
          <w:b/>
          <w:sz w:val="24"/>
        </w:rPr>
        <w:t>es</w:t>
      </w:r>
      <w:r>
        <w:rPr>
          <w:b/>
          <w:sz w:val="24"/>
        </w:rPr>
        <w:t xml:space="preserve">: </w:t>
      </w:r>
      <w:r w:rsidR="00084669">
        <w:rPr>
          <w:b/>
          <w:sz w:val="24"/>
        </w:rPr>
        <w:t>Anna Esteves e Paulo Melgaço</w:t>
      </w:r>
    </w:p>
    <w:p w14:paraId="081C19D5" w14:textId="77777777" w:rsidR="00FB36DC" w:rsidRDefault="00EA7784">
      <w:pPr>
        <w:ind w:left="2" w:right="3900"/>
        <w:rPr>
          <w:b/>
          <w:sz w:val="24"/>
        </w:rPr>
      </w:pPr>
      <w:r>
        <w:rPr>
          <w:b/>
          <w:sz w:val="24"/>
        </w:rPr>
        <w:t xml:space="preserve">Linha de Pesquisa: </w:t>
      </w:r>
      <w:r w:rsidR="00EA1627" w:rsidRPr="00EA1627">
        <w:rPr>
          <w:b/>
          <w:sz w:val="24"/>
        </w:rPr>
        <w:t>Processos Cênicos em Educação</w:t>
      </w:r>
    </w:p>
    <w:p w14:paraId="5DE9E277" w14:textId="16A67800" w:rsidR="00D55544" w:rsidRPr="00324FD1" w:rsidRDefault="00EA7784">
      <w:pPr>
        <w:ind w:left="2"/>
        <w:rPr>
          <w:b/>
          <w:sz w:val="24"/>
        </w:rPr>
      </w:pPr>
      <w:r>
        <w:rPr>
          <w:b/>
          <w:sz w:val="24"/>
        </w:rPr>
        <w:t>Curso(prático/teórico):</w:t>
      </w:r>
      <w:r w:rsidR="00FB01BC">
        <w:rPr>
          <w:b/>
          <w:sz w:val="24"/>
        </w:rPr>
        <w:t xml:space="preserve"> </w:t>
      </w:r>
      <w:r w:rsidR="00D55544" w:rsidRPr="00324FD1">
        <w:rPr>
          <w:b/>
          <w:sz w:val="24"/>
        </w:rPr>
        <w:t>Decolonialidade e Processos Cênicos em Educação.</w:t>
      </w:r>
    </w:p>
    <w:p w14:paraId="5213AA39" w14:textId="77777777" w:rsidR="00D55544" w:rsidRPr="00D55544" w:rsidRDefault="00D55544">
      <w:pPr>
        <w:ind w:left="2"/>
        <w:rPr>
          <w:b/>
          <w:sz w:val="24"/>
        </w:rPr>
      </w:pPr>
    </w:p>
    <w:p w14:paraId="5DE5A405" w14:textId="0D3E6F89" w:rsidR="00FB36DC" w:rsidRDefault="00EA7784">
      <w:pPr>
        <w:spacing w:before="1"/>
        <w:ind w:left="2" w:right="1713"/>
        <w:rPr>
          <w:b/>
          <w:sz w:val="24"/>
        </w:rPr>
      </w:pPr>
      <w:r>
        <w:rPr>
          <w:b/>
          <w:sz w:val="24"/>
        </w:rPr>
        <w:t>Horário:</w:t>
      </w:r>
      <w:r w:rsidR="00EA1627">
        <w:rPr>
          <w:b/>
          <w:sz w:val="24"/>
        </w:rPr>
        <w:t>quinta-feira</w:t>
      </w:r>
      <w:r>
        <w:rPr>
          <w:b/>
          <w:sz w:val="24"/>
        </w:rPr>
        <w:t>/19h</w:t>
      </w:r>
      <w:r w:rsidR="00EA1627">
        <w:rPr>
          <w:b/>
          <w:sz w:val="24"/>
        </w:rPr>
        <w:t xml:space="preserve"> </w:t>
      </w:r>
      <w:r w:rsidR="00DF3D1B">
        <w:rPr>
          <w:b/>
          <w:sz w:val="24"/>
        </w:rPr>
        <w:t>à</w:t>
      </w:r>
      <w:r>
        <w:rPr>
          <w:b/>
          <w:sz w:val="24"/>
        </w:rPr>
        <w:t>s</w:t>
      </w:r>
      <w:r w:rsidR="00EA1627">
        <w:rPr>
          <w:b/>
          <w:sz w:val="24"/>
        </w:rPr>
        <w:t xml:space="preserve"> </w:t>
      </w:r>
      <w:r>
        <w:rPr>
          <w:b/>
          <w:sz w:val="24"/>
        </w:rPr>
        <w:t>22h</w:t>
      </w:r>
      <w:r w:rsidR="00EA1627">
        <w:rPr>
          <w:b/>
          <w:sz w:val="24"/>
        </w:rPr>
        <w:t xml:space="preserve"> </w:t>
      </w:r>
      <w:r>
        <w:rPr>
          <w:b/>
          <w:sz w:val="24"/>
        </w:rPr>
        <w:t>/Sala</w:t>
      </w:r>
      <w:r w:rsidR="00EA1627">
        <w:rPr>
          <w:b/>
          <w:sz w:val="24"/>
        </w:rPr>
        <w:t xml:space="preserve">: (a definir)        </w:t>
      </w:r>
      <w:r>
        <w:rPr>
          <w:b/>
          <w:sz w:val="24"/>
        </w:rPr>
        <w:t>/Início:</w:t>
      </w:r>
      <w:r w:rsidR="00EA1627">
        <w:rPr>
          <w:b/>
          <w:sz w:val="24"/>
        </w:rPr>
        <w:t xml:space="preserve"> 28 </w:t>
      </w:r>
      <w:r>
        <w:rPr>
          <w:b/>
          <w:sz w:val="24"/>
        </w:rPr>
        <w:t>de</w:t>
      </w:r>
      <w:r w:rsidR="00EA1627">
        <w:rPr>
          <w:b/>
          <w:sz w:val="24"/>
        </w:rPr>
        <w:t xml:space="preserve"> </w:t>
      </w:r>
      <w:r>
        <w:rPr>
          <w:b/>
          <w:sz w:val="24"/>
        </w:rPr>
        <w:t>agosto. Período: 202</w:t>
      </w:r>
      <w:r w:rsidR="00EA1627">
        <w:rPr>
          <w:b/>
          <w:sz w:val="24"/>
        </w:rPr>
        <w:t>5</w:t>
      </w:r>
      <w:r>
        <w:rPr>
          <w:b/>
          <w:sz w:val="24"/>
        </w:rPr>
        <w:t>.2</w:t>
      </w:r>
    </w:p>
    <w:p w14:paraId="4DD24D93" w14:textId="77777777" w:rsidR="00EA1627" w:rsidRDefault="00EA1627" w:rsidP="00EA1627">
      <w:pPr>
        <w:pStyle w:val="Corpodetexto"/>
        <w:spacing w:before="1"/>
        <w:ind w:right="702"/>
        <w:jc w:val="both"/>
      </w:pPr>
    </w:p>
    <w:p w14:paraId="00C786B1" w14:textId="108D075B" w:rsidR="00F0013C" w:rsidRPr="00EE7E93" w:rsidRDefault="00EA7784" w:rsidP="00EE7E93">
      <w:pPr>
        <w:pStyle w:val="Corpodetexto"/>
        <w:spacing w:before="1"/>
        <w:ind w:right="702"/>
        <w:jc w:val="both"/>
        <w:rPr>
          <w:color w:val="002060"/>
        </w:rPr>
      </w:pPr>
      <w:r>
        <w:rPr>
          <w:b/>
        </w:rPr>
        <w:t>EMENTA</w:t>
      </w:r>
      <w:r w:rsidRPr="00BF4A81">
        <w:rPr>
          <w:b/>
        </w:rPr>
        <w:t>:</w:t>
      </w:r>
      <w:r w:rsidR="00EA1627" w:rsidRPr="00BF4A81">
        <w:t xml:space="preserve"> </w:t>
      </w:r>
      <w:r w:rsidR="003525E9" w:rsidRPr="00BF4A81">
        <w:t xml:space="preserve"> </w:t>
      </w:r>
      <w:r w:rsidR="00236330" w:rsidRPr="00BF4A81">
        <w:t xml:space="preserve">A expressão "sou onde penso" (Walter Mignolo, 2003) propõe que o “ser” não é apenas uma questão de pensamento, mas que a localização e o contexto social e histórico onde se pensa também moldam a nossa existência. É com os pés nesse chão, que o curso põe na ordem do dia o conceito de colonialidade, que vai buscar responder como a Europa invisibilizou outras formas de conhecer o mundo. “Descolonizar-se, esta é a possibilidade do pensamento” (Abdelkebir Khatibi </w:t>
      </w:r>
      <w:r w:rsidR="00236330" w:rsidRPr="00BF4A81">
        <w:rPr>
          <w:i/>
          <w:iCs/>
        </w:rPr>
        <w:t>apud</w:t>
      </w:r>
      <w:r w:rsidR="00236330" w:rsidRPr="00BF4A81">
        <w:t xml:space="preserve"> Catherine Walsh, 2005). As pedagogias decoloniais redesenham movimentos a direcionar para “outras” pedagogias, “outros” saberes - firmar pedagogias que contribuam com o processo de desconstrução dos paradigmas dominantes/coloniais que orientam nossa educação. Buscar-se-á a desconstrução de obstáculos epistêmicos e educativos, onde o conhecimento hegemônico invisibiliza outras formas de produzir conhecimentos que possam incidir na realidade e permitam orientar ações e consciência crítica frente às diversas formas de colonialidade, viabilizando processos investigativos coletivos para a superação da condição de subalternidade e opressão sociocultural e política.</w:t>
      </w:r>
    </w:p>
    <w:p w14:paraId="1C0A9F6A" w14:textId="77777777" w:rsidR="008836E3" w:rsidRDefault="008836E3" w:rsidP="00EA1627">
      <w:pPr>
        <w:pStyle w:val="Corpodetexto"/>
        <w:spacing w:before="1"/>
        <w:ind w:right="702"/>
        <w:jc w:val="both"/>
      </w:pPr>
    </w:p>
    <w:p w14:paraId="4ECBC7E3" w14:textId="77777777" w:rsidR="008836E3" w:rsidRDefault="008836E3" w:rsidP="00EA1627">
      <w:pPr>
        <w:pStyle w:val="Corpodetexto"/>
        <w:spacing w:before="1"/>
        <w:ind w:right="702"/>
        <w:jc w:val="both"/>
      </w:pPr>
    </w:p>
    <w:p w14:paraId="09F09033" w14:textId="77777777" w:rsidR="00FB36DC" w:rsidRDefault="00EA7784">
      <w:pPr>
        <w:ind w:left="2"/>
        <w:jc w:val="both"/>
        <w:rPr>
          <w:b/>
          <w:spacing w:val="-2"/>
          <w:sz w:val="24"/>
        </w:rPr>
      </w:pPr>
      <w:r>
        <w:rPr>
          <w:b/>
          <w:sz w:val="24"/>
        </w:rPr>
        <w:t>BIBLIOGRAFIA</w:t>
      </w:r>
      <w:r w:rsidR="00EA1627">
        <w:rPr>
          <w:b/>
          <w:sz w:val="24"/>
        </w:rPr>
        <w:t xml:space="preserve"> </w:t>
      </w:r>
      <w:r>
        <w:rPr>
          <w:b/>
          <w:spacing w:val="-2"/>
          <w:sz w:val="24"/>
        </w:rPr>
        <w:t>INICIAL</w:t>
      </w:r>
    </w:p>
    <w:p w14:paraId="5EB141C4" w14:textId="77777777" w:rsidR="00180B67" w:rsidRDefault="00180B67">
      <w:pPr>
        <w:ind w:left="2"/>
        <w:jc w:val="both"/>
        <w:rPr>
          <w:b/>
          <w:spacing w:val="-2"/>
          <w:sz w:val="24"/>
        </w:rPr>
      </w:pPr>
    </w:p>
    <w:p w14:paraId="6CD8AF6B" w14:textId="5DF21DDA" w:rsidR="00FB36DC" w:rsidRPr="00180B67" w:rsidRDefault="00180B67" w:rsidP="00180B67">
      <w:pPr>
        <w:ind w:left="2"/>
        <w:jc w:val="both"/>
        <w:rPr>
          <w:bCs/>
          <w:sz w:val="24"/>
        </w:rPr>
      </w:pPr>
      <w:r w:rsidRPr="00180B67">
        <w:rPr>
          <w:bCs/>
          <w:sz w:val="24"/>
        </w:rPr>
        <w:t>BALLESTRIN, L. América Latina e o Giro decolonial. Revista Brasileira de Ciência Política, nº11. Brasília, maio - agosto de 2013, pp. 89-117.</w:t>
      </w:r>
    </w:p>
    <w:p w14:paraId="362A6052" w14:textId="77777777" w:rsidR="003D0627" w:rsidRPr="00225105" w:rsidRDefault="003D0627" w:rsidP="0007385C">
      <w:pPr>
        <w:jc w:val="both"/>
        <w:textAlignment w:val="bottom"/>
        <w:rPr>
          <w:sz w:val="24"/>
          <w:szCs w:val="24"/>
        </w:rPr>
      </w:pPr>
      <w:r w:rsidRPr="00225105">
        <w:rPr>
          <w:sz w:val="24"/>
          <w:szCs w:val="24"/>
        </w:rPr>
        <w:t>CANDAU, V.M. Cotidiano e práticas interculturais. Cadernos de Pesquisa v.46 n.161 p.802-820 jul./set. 2016</w:t>
      </w:r>
    </w:p>
    <w:p w14:paraId="30A35365" w14:textId="5D20BF55" w:rsidR="00180B67" w:rsidRDefault="003D0627" w:rsidP="0007385C">
      <w:pPr>
        <w:jc w:val="both"/>
        <w:textAlignment w:val="bottom"/>
        <w:rPr>
          <w:sz w:val="24"/>
          <w:szCs w:val="24"/>
        </w:rPr>
      </w:pPr>
      <w:r w:rsidRPr="00225105">
        <w:rPr>
          <w:sz w:val="24"/>
          <w:szCs w:val="24"/>
        </w:rPr>
        <w:t>CANDAU, V.M Educação Intercultural: entre afirmações e desafios. IN: MOREIRA A.F.; CANDAU, V.M. Currículos, disciplinas escolares e culturas. Petrópolis, RJ: Vozes, 2014</w:t>
      </w:r>
    </w:p>
    <w:p w14:paraId="3B668D72" w14:textId="5E4FC501" w:rsidR="00180B67" w:rsidRPr="00180B67" w:rsidRDefault="00180B67" w:rsidP="00180B67">
      <w:pPr>
        <w:jc w:val="both"/>
        <w:textAlignment w:val="bottom"/>
        <w:rPr>
          <w:sz w:val="24"/>
          <w:szCs w:val="24"/>
        </w:rPr>
      </w:pPr>
      <w:r w:rsidRPr="00180B67">
        <w:rPr>
          <w:sz w:val="24"/>
          <w:szCs w:val="24"/>
        </w:rPr>
        <w:t xml:space="preserve">CASTRO-GÓMEZ, S. Ciências sociais, violência epistêmica e o problema da “invenção do outro”. In: LANDER, E (org.). A colonialidade do saber: eurocentrismo e ciências sociais. Perspectivas latino-americanas. Buenos Aires: CLASCO, 2005. p.80-77. </w:t>
      </w:r>
    </w:p>
    <w:p w14:paraId="491DB948" w14:textId="57B75357" w:rsidR="00180B67" w:rsidRDefault="00180B67" w:rsidP="00180B67">
      <w:pPr>
        <w:jc w:val="both"/>
        <w:textAlignment w:val="bottom"/>
        <w:rPr>
          <w:sz w:val="24"/>
          <w:szCs w:val="24"/>
        </w:rPr>
      </w:pPr>
      <w:r w:rsidRPr="00180B67">
        <w:rPr>
          <w:sz w:val="24"/>
          <w:szCs w:val="24"/>
        </w:rPr>
        <w:t>DUSSEL, E. “Europa, modernidad y eurocentrismo”. In: LANDER, E. (org.). La colonialidad del saber: eurocentrismo y ciencias sociales, perspectivas latino</w:t>
      </w:r>
      <w:r>
        <w:rPr>
          <w:sz w:val="24"/>
          <w:szCs w:val="24"/>
        </w:rPr>
        <w:t xml:space="preserve"> </w:t>
      </w:r>
      <w:r w:rsidRPr="00180B67">
        <w:rPr>
          <w:sz w:val="24"/>
          <w:szCs w:val="24"/>
        </w:rPr>
        <w:t>americanas. Buenos Aires: Clacso, 2005, pp 24-32.</w:t>
      </w:r>
    </w:p>
    <w:p w14:paraId="24323ACE" w14:textId="1E972AA2" w:rsidR="00103C58" w:rsidRPr="00225105" w:rsidRDefault="00103C58" w:rsidP="00103C58">
      <w:pPr>
        <w:jc w:val="both"/>
        <w:textAlignment w:val="bottom"/>
        <w:rPr>
          <w:sz w:val="24"/>
          <w:szCs w:val="24"/>
        </w:rPr>
      </w:pPr>
      <w:r w:rsidRPr="00103C58">
        <w:rPr>
          <w:sz w:val="24"/>
          <w:szCs w:val="24"/>
        </w:rPr>
        <w:t>GROSFOGUEL, R. Para descolonizar os estudos de economia política e os estudos pós-coloniais: transmodernidade, pensamento de fronteira e colonialidade global. Revista Crítica de Ciências Sociais, n. 80, p. 115-147, 2008.</w:t>
      </w:r>
    </w:p>
    <w:p w14:paraId="1F9AFDC8" w14:textId="77777777" w:rsidR="003D0627" w:rsidRPr="00473818" w:rsidRDefault="003D0627" w:rsidP="0007385C">
      <w:pPr>
        <w:jc w:val="both"/>
        <w:textAlignment w:val="bottom"/>
        <w:rPr>
          <w:sz w:val="24"/>
          <w:szCs w:val="24"/>
        </w:rPr>
      </w:pPr>
      <w:r w:rsidRPr="00225105">
        <w:rPr>
          <w:sz w:val="24"/>
          <w:szCs w:val="24"/>
        </w:rPr>
        <w:t>HALL, S. A centralidade da cultura: notas sobre as revoluções de nosso tempo. Educação e Realidade, vol.22, n.2, 1997</w:t>
      </w:r>
    </w:p>
    <w:p w14:paraId="49901BC9" w14:textId="424AFE17" w:rsidR="003D0627" w:rsidRPr="00225105" w:rsidRDefault="00060B40" w:rsidP="00473818">
      <w:pPr>
        <w:pStyle w:val="Corpodetexto"/>
        <w:ind w:right="730"/>
        <w:jc w:val="both"/>
      </w:pPr>
      <w:r>
        <w:t>hooks</w:t>
      </w:r>
      <w:r w:rsidR="003D0627" w:rsidRPr="00473818">
        <w:t xml:space="preserve">, </w:t>
      </w:r>
      <w:r>
        <w:t>b</w:t>
      </w:r>
      <w:r w:rsidR="003D0627" w:rsidRPr="00473818">
        <w:t>ell. Ensinando a Transgredir:A educação comoprática da liberdade. SãoPaulo: Editora WMF Martins Fontes, 2017.</w:t>
      </w:r>
    </w:p>
    <w:p w14:paraId="1806A9AA" w14:textId="77777777" w:rsidR="003D0627" w:rsidRPr="00473818" w:rsidRDefault="003D0627" w:rsidP="0007385C">
      <w:pPr>
        <w:jc w:val="both"/>
        <w:textAlignment w:val="bottom"/>
        <w:rPr>
          <w:sz w:val="24"/>
          <w:szCs w:val="24"/>
        </w:rPr>
      </w:pPr>
      <w:r w:rsidRPr="00225105">
        <w:rPr>
          <w:sz w:val="24"/>
          <w:szCs w:val="24"/>
        </w:rPr>
        <w:t>IVENICKI, A. Multiculturalismo e formação de professores: dimensões, possibilidades e desafios na contemporaneidade. Ensaio: aval. pol. públ. Educ., Rio de Janeiro, v.26, n.100, p. 1151-1167, jul./set. 2018</w:t>
      </w:r>
    </w:p>
    <w:p w14:paraId="4658359E" w14:textId="4DB91938" w:rsidR="0007385C" w:rsidRPr="00225105" w:rsidRDefault="0007385C" w:rsidP="0007385C">
      <w:pPr>
        <w:pStyle w:val="Corpodetexto"/>
        <w:spacing w:before="1"/>
        <w:ind w:right="730"/>
        <w:jc w:val="both"/>
      </w:pPr>
      <w:r w:rsidRPr="00473818">
        <w:t xml:space="preserve">KRENAK, Ailton. A vida não é útil. São Paulo: Companhia das Letras, 2020. </w:t>
      </w:r>
    </w:p>
    <w:p w14:paraId="52A7A796" w14:textId="77777777" w:rsidR="003D0627" w:rsidRPr="00225105" w:rsidRDefault="003D0627" w:rsidP="0007385C">
      <w:pPr>
        <w:jc w:val="both"/>
        <w:textAlignment w:val="bottom"/>
        <w:rPr>
          <w:sz w:val="24"/>
          <w:szCs w:val="24"/>
        </w:rPr>
      </w:pPr>
      <w:r w:rsidRPr="00225105">
        <w:rPr>
          <w:sz w:val="24"/>
          <w:szCs w:val="24"/>
        </w:rPr>
        <w:lastRenderedPageBreak/>
        <w:t>LOPES,A.C e MACEDO, E. Teorias de Currículo- São Paulo: Cortez, 2011 (capítulo 9)</w:t>
      </w:r>
    </w:p>
    <w:p w14:paraId="04D5149D" w14:textId="77777777" w:rsidR="003D0627" w:rsidRDefault="003D0627" w:rsidP="0007385C">
      <w:pPr>
        <w:jc w:val="both"/>
        <w:textAlignment w:val="bottom"/>
        <w:rPr>
          <w:sz w:val="24"/>
          <w:szCs w:val="24"/>
        </w:rPr>
      </w:pPr>
      <w:r w:rsidRPr="00225105">
        <w:rPr>
          <w:sz w:val="24"/>
          <w:szCs w:val="24"/>
        </w:rPr>
        <w:t>MOREIRA A.F.; CANDAU, V. M. Educação escolar e cultura (s): construindo caminhos. Revista Brasileira de Educação, Campinas, n. 23, 2003.</w:t>
      </w:r>
    </w:p>
    <w:p w14:paraId="6D13749F" w14:textId="45447E54" w:rsidR="00103C58" w:rsidRDefault="00103C58" w:rsidP="00103C58">
      <w:pPr>
        <w:jc w:val="both"/>
        <w:textAlignment w:val="bottom"/>
        <w:rPr>
          <w:sz w:val="24"/>
          <w:szCs w:val="24"/>
        </w:rPr>
      </w:pPr>
      <w:r w:rsidRPr="00103C58">
        <w:rPr>
          <w:sz w:val="24"/>
          <w:szCs w:val="24"/>
        </w:rPr>
        <w:t>MALDONADO-TORRES, N. Sobre la colonialidad del ser: contribuciones al desarrollo de un concepto. In: CASTRO-GÓMEZ, Santiago; GROSFOGUEL, Ramon (orgs.). El giro decolonial: reflexiones para uma diversidad epistêmica más allá del capitalismo global. Bogotá: Siglo del Hombre Editores; Universidad Central, Instituto de Estudios Sociales Contemporáneos, Pontificia Universidad Javeriana, Instituto Pensar, 2007</w:t>
      </w:r>
    </w:p>
    <w:p w14:paraId="7B684D71" w14:textId="22BDB4E9" w:rsidR="003C1F13" w:rsidRDefault="003C1F13" w:rsidP="0007385C">
      <w:pPr>
        <w:jc w:val="both"/>
        <w:textAlignment w:val="bottom"/>
        <w:rPr>
          <w:sz w:val="24"/>
          <w:szCs w:val="24"/>
        </w:rPr>
      </w:pPr>
      <w:r>
        <w:rPr>
          <w:sz w:val="24"/>
          <w:szCs w:val="24"/>
        </w:rPr>
        <w:t>MIGNOLO, Walter</w:t>
      </w:r>
      <w:r w:rsidR="00BA1F7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. </w:t>
      </w:r>
      <w:r w:rsidR="00BA1F75">
        <w:rPr>
          <w:sz w:val="24"/>
          <w:szCs w:val="24"/>
        </w:rPr>
        <w:t>Histórias locais/Projetos Globais: Colonialidade, Saberes Subalternos e Pensamento liminar</w:t>
      </w:r>
      <w:r w:rsidR="007006B2">
        <w:rPr>
          <w:sz w:val="24"/>
          <w:szCs w:val="24"/>
        </w:rPr>
        <w:t>, UFMG, 2003.</w:t>
      </w:r>
    </w:p>
    <w:p w14:paraId="31D5FAF0" w14:textId="56835A28" w:rsidR="00103C58" w:rsidRDefault="00103C58" w:rsidP="00103C58">
      <w:pPr>
        <w:jc w:val="both"/>
        <w:textAlignment w:val="bottom"/>
        <w:rPr>
          <w:sz w:val="24"/>
          <w:szCs w:val="24"/>
        </w:rPr>
      </w:pPr>
      <w:r w:rsidRPr="00103C58">
        <w:rPr>
          <w:sz w:val="24"/>
          <w:szCs w:val="24"/>
        </w:rPr>
        <w:t>OLIVEIRA, L. F.; CANDAU, V. M.. Pedagogia decolonial e educação antirracista e intercultural no Brasil. In: CANDAU, V. M. (Org.) Diferenças Culturais e Educação: construindo caminhos. Rio de Janeiro: 7 Letras, 2011.</w:t>
      </w:r>
    </w:p>
    <w:p w14:paraId="497A717A" w14:textId="0BA7E1A5" w:rsidR="00103C58" w:rsidRPr="00225105" w:rsidRDefault="00103C58" w:rsidP="00103C58">
      <w:pPr>
        <w:jc w:val="both"/>
        <w:textAlignment w:val="bottom"/>
        <w:rPr>
          <w:sz w:val="24"/>
          <w:szCs w:val="24"/>
        </w:rPr>
      </w:pPr>
      <w:r w:rsidRPr="00103C58">
        <w:rPr>
          <w:sz w:val="24"/>
          <w:szCs w:val="24"/>
        </w:rPr>
        <w:t>QUIJANO, A. Colonialidad del Poder, Globalización y Democracia. Tendencias básicas de nuestra época: globalización y democracia, v. 1 de Cuadernos (Instituto de Altos Estudios Diplomaticos Pedro Gual) Caracas: Ministerio de Relaciones Exteriores / Instituto de Altos Estudios Diplomáticos Pedro Gual, 2001, p. 25-61.</w:t>
      </w:r>
    </w:p>
    <w:p w14:paraId="1283B528" w14:textId="1D2A8CF6" w:rsidR="00FB36DC" w:rsidRDefault="00353E32" w:rsidP="00825E48">
      <w:pPr>
        <w:pStyle w:val="Corpodetexto"/>
        <w:jc w:val="both"/>
      </w:pPr>
      <w:r>
        <w:t xml:space="preserve">ACOSTA. Alberto. O bem viver: uma oportunidade para imaginar outros mundos. </w:t>
      </w:r>
      <w:r w:rsidR="006E4175">
        <w:t xml:space="preserve">Editora Elefante, 2016. </w:t>
      </w:r>
    </w:p>
    <w:p w14:paraId="386FD2C6" w14:textId="77777777" w:rsidR="00180B67" w:rsidRDefault="00180B67" w:rsidP="00180B67">
      <w:pPr>
        <w:pStyle w:val="Corpodetexto"/>
        <w:jc w:val="both"/>
      </w:pPr>
      <w:r>
        <w:t>hooks, b. Representações da Branquitude na Imaginação negra. In: Olhares negros: raça e representação. São Paulo: Elefante, 2019. p. 294 -315</w:t>
      </w:r>
    </w:p>
    <w:p w14:paraId="34F5C415" w14:textId="77777777" w:rsidR="00180B67" w:rsidRDefault="00180B67" w:rsidP="00180B67">
      <w:pPr>
        <w:pStyle w:val="Corpodetexto"/>
        <w:jc w:val="both"/>
      </w:pPr>
      <w:r>
        <w:t>LABORNE, A.A. Branquitude e Colonialidade do Saber. Revista da ABPN • v. 6, n. 13 • mar. – jun. 2014 • p. 148-161</w:t>
      </w:r>
    </w:p>
    <w:p w14:paraId="53701E6A" w14:textId="77777777" w:rsidR="00180B67" w:rsidRDefault="00180B67" w:rsidP="00180B67">
      <w:pPr>
        <w:pStyle w:val="Corpodetexto"/>
        <w:jc w:val="both"/>
      </w:pPr>
      <w:r>
        <w:t>SCHUCMAN, L. V. Branquitude e Poder: Revisitando o “Medo Branco” no Século XXI. Revista da ABPN v. 6, n. 13 • mar. – jun. 2014 • p. 134-147.</w:t>
      </w:r>
    </w:p>
    <w:p w14:paraId="622A52D1" w14:textId="4490258D" w:rsidR="00180B67" w:rsidRDefault="00180B67" w:rsidP="00180B67">
      <w:pPr>
        <w:pStyle w:val="Corpodetexto"/>
        <w:jc w:val="both"/>
      </w:pPr>
      <w:r>
        <w:t xml:space="preserve">BUTLER Judith. CORPOS QUE IMPORTAM:Os limites discursivos do sexo. </w:t>
      </w:r>
      <w:r w:rsidRPr="00180B67">
        <w:t>n-1edicoes.org 1ª edição | Impresso em São Paulo | novembro, 2019</w:t>
      </w:r>
    </w:p>
    <w:p w14:paraId="0DCB9E1D" w14:textId="77777777" w:rsidR="00180B67" w:rsidRDefault="00180B67" w:rsidP="00825E48">
      <w:pPr>
        <w:pStyle w:val="Corpodetexto"/>
        <w:jc w:val="both"/>
      </w:pPr>
    </w:p>
    <w:sectPr w:rsidR="00180B67" w:rsidSect="00FB36DC">
      <w:type w:val="continuous"/>
      <w:pgSz w:w="11910" w:h="16840"/>
      <w:pgMar w:top="5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DC"/>
    <w:rsid w:val="00060B40"/>
    <w:rsid w:val="0007385C"/>
    <w:rsid w:val="00084669"/>
    <w:rsid w:val="00103C58"/>
    <w:rsid w:val="0012191C"/>
    <w:rsid w:val="00180B67"/>
    <w:rsid w:val="00236330"/>
    <w:rsid w:val="002A4FAE"/>
    <w:rsid w:val="00305686"/>
    <w:rsid w:val="00324FD1"/>
    <w:rsid w:val="003525E9"/>
    <w:rsid w:val="00353E32"/>
    <w:rsid w:val="003C1F13"/>
    <w:rsid w:val="003D0627"/>
    <w:rsid w:val="004226A4"/>
    <w:rsid w:val="00473818"/>
    <w:rsid w:val="004935A0"/>
    <w:rsid w:val="004C414C"/>
    <w:rsid w:val="00611F13"/>
    <w:rsid w:val="006E4175"/>
    <w:rsid w:val="006F4538"/>
    <w:rsid w:val="007006B2"/>
    <w:rsid w:val="007844A9"/>
    <w:rsid w:val="007971C8"/>
    <w:rsid w:val="00800700"/>
    <w:rsid w:val="00825E48"/>
    <w:rsid w:val="008565B9"/>
    <w:rsid w:val="008836E3"/>
    <w:rsid w:val="00B34A10"/>
    <w:rsid w:val="00BA1F75"/>
    <w:rsid w:val="00BF4A81"/>
    <w:rsid w:val="00CC1149"/>
    <w:rsid w:val="00D55544"/>
    <w:rsid w:val="00D85998"/>
    <w:rsid w:val="00DF3D1B"/>
    <w:rsid w:val="00E42BFF"/>
    <w:rsid w:val="00E43307"/>
    <w:rsid w:val="00EA1627"/>
    <w:rsid w:val="00EA7784"/>
    <w:rsid w:val="00EE7E93"/>
    <w:rsid w:val="00F0013C"/>
    <w:rsid w:val="00F23B22"/>
    <w:rsid w:val="00FB01BC"/>
    <w:rsid w:val="00F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1A0F"/>
  <w15:docId w15:val="{DCA4C7CB-2223-4BF3-889C-B09C8CA3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36D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36DC"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36DC"/>
  </w:style>
  <w:style w:type="paragraph" w:customStyle="1" w:styleId="TableParagraph">
    <w:name w:val="Table Paragraph"/>
    <w:basedOn w:val="Normal"/>
    <w:uiPriority w:val="1"/>
    <w:qFormat/>
    <w:rsid w:val="00FB36DC"/>
  </w:style>
  <w:style w:type="paragraph" w:styleId="Textodebalo">
    <w:name w:val="Balloon Text"/>
    <w:basedOn w:val="Normal"/>
    <w:link w:val="TextodebaloChar"/>
    <w:uiPriority w:val="99"/>
    <w:semiHidden/>
    <w:unhideWhenUsed/>
    <w:rsid w:val="00EA16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62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Adilson</dc:creator>
  <cp:lastModifiedBy>ANNA ESTEVES</cp:lastModifiedBy>
  <cp:revision>2</cp:revision>
  <dcterms:created xsi:type="dcterms:W3CDTF">2025-08-12T12:12:00Z</dcterms:created>
  <dcterms:modified xsi:type="dcterms:W3CDTF">2025-08-12T12:12:00Z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2025-07-20T00:00:00Z</vt:filetime>
  </property>
  <property fmtid="{D5CDD505-2E9C-101B-9397-08002B2CF9AE}" pid="5" name="Producer">
    <vt:lpwstr>Microsoft® Word 2016</vt:lpwstr>
  </property>
</Properties>
</file>