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071"/>
        <w:gridCol w:w="1349"/>
        <w:gridCol w:w="540"/>
        <w:gridCol w:w="2868"/>
        <w:tblGridChange w:id="0">
          <w:tblGrid>
            <w:gridCol w:w="5071"/>
            <w:gridCol w:w="1349"/>
            <w:gridCol w:w="540"/>
            <w:gridCol w:w="2868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UNIVERSIDADE FEDERAL DO ESTADO DO RIO DE JANEIRO (UNIRIO)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-9524</wp:posOffset>
                  </wp:positionV>
                  <wp:extent cx="855980" cy="855980"/>
                  <wp:effectExtent b="0" l="0" r="0" t="0"/>
                  <wp:wrapSquare wrapText="bothSides" distB="0" distT="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55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CENTRO LETRAS E ARTES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 VILLA-LOBOS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 DE DISCIPLINA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Graduação em Música: Música Popular Brasileira-Arranjo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4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Educação Musical 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Arranjo III</w:t>
            </w:r>
          </w:p>
        </w:tc>
        <w:tc>
          <w:tcPr>
            <w:tcBorders>
              <w:left w:color="ffffff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SIGLA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  ARJ III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AEM0138</w:t>
            </w:r>
          </w:p>
        </w:tc>
        <w:tc>
          <w:tcPr>
            <w:gridSpan w:val="3"/>
            <w:tcBorders>
              <w:left w:color="ffffff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60 hs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CRÉDITOS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3</w:t>
            </w:r>
          </w:p>
        </w:tc>
        <w:tc>
          <w:tcPr>
            <w:gridSpan w:val="3"/>
            <w:tcBorders>
              <w:top w:color="000000" w:space="0" w:sz="0" w:val="nil"/>
              <w:left w:color="ffffff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PRÉ-REQUISITOS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ARJ II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hd w:fill="ffffff" w:val="clea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EMENTA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21">
            <w:pPr>
              <w:shd w:fill="ffffff" w:val="clea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Estudo de técnicas específicas para criação de </w:t>
            </w: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arranjo musical,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entendido como um conjunto de procedimentos composicionais de estruturação e elaboração musical, tendo como base de estudo gêneros, formas e estilos de música popular brasileira.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 DA 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Desenvolver a capacidade de criar arranjos musicais para diferentes formações e estilos da música popular brasileira de maneira criativa e com personalidade artística.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Análise, pesquisa, audição, seminários e laboratórios de prática instrumental / vocal.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hd w:fill="ffffff" w:val="clea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CONTEÚDO PROGRAMÁTICO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ind w:left="1080" w:hanging="360"/>
              <w:rPr>
                <w:rFonts w:ascii="Arial" w:cs="Arial" w:eastAsia="Arial" w:hAnsi="Arial"/>
                <w:color w:val="11111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111111"/>
                <w:vertAlign w:val="baseline"/>
                <w:rtl w:val="0"/>
              </w:rPr>
              <w:t xml:space="preserve">Técnicas não mecânicas de harmonização em bloco: quartas, supercerrada e tríades de estrutura superior.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1080" w:hanging="360"/>
              <w:rPr>
                <w:rFonts w:ascii="Arial" w:cs="Arial" w:eastAsia="Arial" w:hAnsi="Arial"/>
                <w:color w:val="11111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111111"/>
                <w:vertAlign w:val="baseline"/>
                <w:rtl w:val="0"/>
              </w:rPr>
              <w:t xml:space="preserve">Escrita para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vertAlign w:val="baseline"/>
                <w:rtl w:val="0"/>
              </w:rPr>
              <w:t xml:space="preserve">Big Band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1080" w:hanging="360"/>
              <w:rPr>
                <w:rFonts w:ascii="Arial" w:cs="Arial" w:eastAsia="Arial" w:hAnsi="Arial"/>
                <w:color w:val="11111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111111"/>
                <w:vertAlign w:val="baseline"/>
                <w:rtl w:val="0"/>
              </w:rPr>
              <w:t xml:space="preserve">Escrita para o naipe de cordas.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processual e final (elaboração de arranjo original)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ALMADA, Carlos.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Arranjo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São Paulo, Editora da Unicamp, 2000.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BENETT, Roy.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Instrumentos da orquestra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Cadernos de Música da Universidade de Cambride. Rio de Janeiro: Zahar Editor, 1985.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GUEST, Ian.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Arranjo – método prático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Volumes 1, 2 e 3. Rio de Janeiro, Lumiar Editora, 1996.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COMPLEMENTAR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CHEDIAK, Almir.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Harmonia e improvisação: 70 músicas harmonizadas e analisadas para violão, guitarra, baixo, teclado. Volumes I e II.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Rio de Janeiro: Lumiar Ed., 1986.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CHEDIAK, Almir.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Bossa nova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 songbook</w:t>
            </w:r>
            <w:r w:rsidDel="00000000" w:rsidR="00000000" w:rsidRPr="00000000">
              <w:rPr>
                <w:vertAlign w:val="baseline"/>
                <w:rtl w:val="0"/>
              </w:rPr>
              <w:t xml:space="preserve">. Rio de Janeiro: Lumiar Ed., 1994.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FARIA, Nelson.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A arte da improvisação: para todos os instrumentos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. Rio de Janeiro: Lumiar Editora, 1991.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LEME, Bia Paes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arranjos para o Programa O Pessoal da Velha Guarda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São Paulo: Instituto Moreira Salles e Imprensa Oficial do Estado de São, 2010.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CHEDIAK, Almir.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Bossa nova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 songbook</w:t>
            </w:r>
            <w:r w:rsidDel="00000000" w:rsidR="00000000" w:rsidRPr="00000000">
              <w:rPr>
                <w:vertAlign w:val="baseline"/>
                <w:rtl w:val="0"/>
              </w:rPr>
              <w:t xml:space="preserve">. Rio de Janeiro: Lumiar Ed., 1994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color w:val="1111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 responsável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Josimar Carneiro 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5e5e5e" w:space="0" w:sz="13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__________________________________ </w:t>
            </w:r>
          </w:p>
        </w:tc>
        <w:tc>
          <w:tcPr>
            <w:gridSpan w:val="2"/>
            <w:tcBorders>
              <w:left w:color="ffffff" w:space="0" w:sz="4" w:val="single"/>
              <w:bottom w:color="5e5e5e" w:space="0" w:sz="13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 15/07/20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–"/>
      <w:lvlJc w:val="left"/>
      <w:pPr>
        <w:ind w:left="108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–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1224" w:hanging="504.00000000000006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stiloCentralizadoSuperior:(SimplesAutomática075ptLargur...">
    <w:name w:val="Estilo Centralizado Superior: (Simples Automática  075 pt Largur..."/>
    <w:basedOn w:val="Normal"/>
    <w:next w:val="EstiloCentralizadoSuperior:(SimplesAutomática075ptLargur..."/>
    <w:autoRedefine w:val="0"/>
    <w:hidden w:val="0"/>
    <w:qFormat w:val="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EstiloSubTítulo1.1+Itálico">
    <w:name w:val="Estilo SubTítulo 1.1 + Itálico"/>
    <w:basedOn w:val="Normal"/>
    <w:next w:val="EstiloSubTítulo1.1+Itálico"/>
    <w:autoRedefine w:val="0"/>
    <w:hidden w:val="0"/>
    <w:qFormat w:val="0"/>
    <w:pPr>
      <w:numPr>
        <w:ilvl w:val="11"/>
        <w:numId w:val="2047"/>
      </w:numPr>
      <w:tabs>
        <w:tab w:val="left" w:leader="none" w:pos="-1985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</w:tabs>
      <w:suppressAutoHyphens w:val="1"/>
      <w:overflowPunct w:val="0"/>
      <w:autoSpaceDE w:val="0"/>
      <w:autoSpaceDN w:val="0"/>
      <w:adjustRightInd w:val="0"/>
      <w:spacing w:line="1" w:lineRule="atLeast"/>
      <w:ind w:left="1276" w:leftChars="-1" w:rightChars="0" w:hanging="283" w:firstLineChars="-1"/>
      <w:jc w:val="both"/>
      <w:textDirection w:val="btLr"/>
      <w:textAlignment w:val="baseline"/>
      <w:outlineLvl w:val="0"/>
    </w:pPr>
    <w:rPr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EstiloTítulo3+Depoisde:6pt">
    <w:name w:val="Estilo Título 3 + Depois de:  6 pt"/>
    <w:basedOn w:val="Heading3"/>
    <w:next w:val="EstiloTítulo3+Depoisde:6pt"/>
    <w:autoRedefine w:val="0"/>
    <w:hidden w:val="0"/>
    <w:qFormat w:val="0"/>
    <w:pPr>
      <w:keepNext w:val="1"/>
      <w:numPr>
        <w:ilvl w:val="2"/>
        <w:numId w:val="1"/>
      </w:numPr>
      <w:tabs>
        <w:tab w:val="left" w:leader="none" w:pos="1440"/>
      </w:tabs>
      <w:suppressAutoHyphens w:val="1"/>
      <w:overflowPunct w:val="0"/>
      <w:autoSpaceDE w:val="0"/>
      <w:autoSpaceDN w:val="0"/>
      <w:adjustRightInd w:val="0"/>
      <w:spacing w:after="120" w:before="240" w:line="1" w:lineRule="atLeast"/>
      <w:ind w:leftChars="-1" w:rightChars="0" w:firstLineChars="-1"/>
      <w:textDirection w:val="btLr"/>
      <w:textAlignment w:val="baseline"/>
      <w:outlineLvl w:val="2"/>
    </w:pPr>
    <w:rPr>
      <w:rFonts w:ascii="Arial" w:cs="Times New Roman" w:hAnsi="Arial"/>
      <w:b w:val="1"/>
      <w:bCs w:val="1"/>
      <w:w w:val="100"/>
      <w:position w:val="-1"/>
      <w:sz w:val="26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mmentSubject1">
    <w:name w:val="Comment Subject1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BalloonText1">
    <w:name w:val="Balloon Text1"/>
    <w:basedOn w:val="Normal"/>
    <w:next w:val="BalloonText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tabela">
    <w:name w:val="tabela"/>
    <w:basedOn w:val="Normal"/>
    <w:next w:val="tabela"/>
    <w:autoRedefine w:val="0"/>
    <w:hidden w:val="0"/>
    <w:qFormat w:val="0"/>
    <w:pPr>
      <w:shd w:color="auto" w:fill="ffffff" w:val="clear"/>
      <w:suppressAutoHyphens w:val="1"/>
      <w:spacing w:after="270"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Verdana" w:hAnsi="Verdana"/>
      <w:color w:val="11111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WYQ771XK+exs6rE3mp3c6MBi4A==">CgMxLjA4AHIhMUZTN2pQUGoyZjAyVWJILVVsQkpwamZNbmlsT09feERE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2014-04-10T23:05:00Z</dcterms:created>
  <dc:creator>DMP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Departamento">
    <vt:lpstr>DMP</vt:lpstr>
  </property>
  <property fmtid="{D5CDD505-2E9C-101B-9397-08002B2CF9AE}" pid="4" name="Objetivo">
    <vt:lpstr>Com Base ORDEM DE SERVIÇO PROEG Nº 002, DE 13 MARÇO DE 2000</vt:lpstr>
  </property>
  <property fmtid="{D5CDD505-2E9C-101B-9397-08002B2CF9AE}" pid="5" name="Proprietário">
    <vt:lpstr>Com Base ORDEM DE SERVIÇO PROEG Nº 002, DE 13 MARÇO DE 2000</vt:lpstr>
  </property>
  <property fmtid="{D5CDD505-2E9C-101B-9397-08002B2CF9AE}" pid="6" name="Objetivo">
    <vt:lpwstr>Com Base ORDEM DE SERVIÇO PROEG Nº 002, DE 13 MARÇO DE 2000</vt:lpwstr>
  </property>
  <property fmtid="{D5CDD505-2E9C-101B-9397-08002B2CF9AE}" pid="7" name="Departamento">
    <vt:lpwstr>DMP</vt:lpwstr>
  </property>
  <property fmtid="{D5CDD505-2E9C-101B-9397-08002B2CF9AE}" pid="8" name="Proprietário">
    <vt:lpwstr>Com Base ORDEM DE SERVIÇO PROEG Nº 002, DE 13 MARÇO DE 2000</vt:lpwstr>
  </property>
</Properties>
</file>