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-9524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Música Popular Brasileira-Arranjo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Educação Musical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Arranjo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 ARJ 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AEM 0136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60 hs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</w:t>
            </w:r>
          </w:p>
        </w:tc>
        <w:tc>
          <w:tcPr>
            <w:gridSpan w:val="3"/>
            <w:tcBorders>
              <w:top w:color="000000" w:space="0" w:sz="0" w:val="nil"/>
              <w:left w:color="ffffff" w:space="0" w:sz="4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HARP II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21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Estudo de técnicas específicas para criação de </w:t>
            </w:r>
            <w:r w:rsidDel="00000000" w:rsidR="00000000" w:rsidRPr="00000000">
              <w:rPr>
                <w:rFonts w:ascii="Arial" w:cs="Arial" w:eastAsia="Arial" w:hAnsi="Arial"/>
                <w:i w:val="1"/>
                <w:vertAlign w:val="baseline"/>
                <w:rtl w:val="0"/>
              </w:rPr>
              <w:t xml:space="preserve">arranjo musical, 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entendido como um conjunto de procedimentos composicionais de estruturação e elaboração musical, tendo como base de estudo gêneros, formas e estilos de música popular brasileira.</w:t>
            </w:r>
          </w:p>
          <w:p w:rsidR="00000000" w:rsidDel="00000000" w:rsidP="00000000" w:rsidRDefault="00000000" w:rsidRPr="00000000" w14:paraId="00000022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Desenvolver a capacidade de elaborar arranjos musicais para diferentes formações e estilos da música popular brasileira de maneira criativa e com personalidade artística.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Análise, pesquisa, audição, seminários e laboratórios de prática instrumental / vocal.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hd w:fill="ffffff" w:val="clea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Estudo da melodia.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Instrumentação para conjunto de choro e instrumentos da base rítmico-harmônica.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Criação de contracantos.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Escrita em bloco a duas vozes.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111111"/>
                <w:vertAlign w:val="baseline"/>
                <w:rtl w:val="0"/>
              </w:rPr>
              <w:t xml:space="preserve">Primeiras técnicas de escrita em bloco a 3 e 4 vozes.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11111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processual e final (elaboração de arranjo original)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BÁSICA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ALMADA, Carlos.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Paulo, Editora da Unicamp, 2000.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BENETT, Roy.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Instrumentos da orquestra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Cadernos de Música da Universidade de Cambride. Rio de Janeiro: Zahar Editor, 1985.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GUEST, Ian.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Arranjo – método prático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Volumes 1, 2 e 3. Rio de Janeiro, Lumiar Editora, 1996.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BIBLIOGRAFIA COMPLEMENTAR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Harmonia e improvisação: 70 músicas harmonizadas e analisadas para violão, guitarra, baixo, teclado. Volumes I e II.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Rio de Janeiro: Lumiar Ed., 1986.</w:t>
            </w:r>
          </w:p>
          <w:p w:rsidR="00000000" w:rsidDel="00000000" w:rsidP="00000000" w:rsidRDefault="00000000" w:rsidRPr="00000000" w14:paraId="0000004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CHEDIAK, Almir.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Bossa nova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i w:val="1"/>
                <w:vertAlign w:val="baseline"/>
                <w:rtl w:val="0"/>
              </w:rPr>
              <w:t xml:space="preserve"> songbook</w:t>
            </w:r>
            <w:r w:rsidDel="00000000" w:rsidR="00000000" w:rsidRPr="00000000">
              <w:rPr>
                <w:vertAlign w:val="baseline"/>
                <w:rtl w:val="0"/>
              </w:rPr>
              <w:t xml:space="preserve">. Rio de Janeiro: Lumiar Ed., 1994.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Arial" w:cs="Arial" w:eastAsia="Arial" w:hAnsi="Arial"/>
                <w:color w:val="00000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FARIA, Nelson.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vertAlign w:val="baseline"/>
                <w:rtl w:val="0"/>
              </w:rPr>
              <w:t xml:space="preserve">A arte da improvisação: para todos os instrumentos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vertAlign w:val="baseline"/>
                <w:rtl w:val="0"/>
              </w:rPr>
              <w:t xml:space="preserve">. Rio de Janeiro: Lumiar Editora, 1991.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LEME, Bia Paes –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arranjos para o Programa O Pessoal da Velha Guarda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São Paulo: Instituto Moreira Salles e Imprensa Oficial do Estado de São, 2010.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 responsável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Josimar Carneiro 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ffffff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15/07/20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–"/>
      <w:lvlJc w:val="left"/>
      <w:pPr>
        <w:ind w:left="720" w:hanging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stiloCentralizadoSuperior:(SimplesAutomática075ptLargur...">
    <w:name w:val="Estilo Centralizado Superior: (Simples Automática  075 pt Largur..."/>
    <w:basedOn w:val="Normal"/>
    <w:next w:val="EstiloCentralizadoSuperior:(SimplesAutomática075ptLargur..."/>
    <w:autoRedefine w:val="0"/>
    <w:hidden w:val="0"/>
    <w:qFormat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SubTítulo1.1+Itálico">
    <w:name w:val="Estilo SubTítulo 1.1 + Itálico"/>
    <w:basedOn w:val="Normal"/>
    <w:next w:val="EstiloSubTítulo1.1+Itálico"/>
    <w:autoRedefine w:val="0"/>
    <w:hidden w:val="0"/>
    <w:qFormat w:val="0"/>
    <w:pPr>
      <w:numPr>
        <w:ilvl w:val="11"/>
        <w:numId w:val="2047"/>
      </w:numPr>
      <w:tabs>
        <w:tab w:val="left" w:leader="none" w:pos="-1985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</w:tabs>
      <w:suppressAutoHyphens w:val="1"/>
      <w:overflowPunct w:val="0"/>
      <w:autoSpaceDE w:val="0"/>
      <w:autoSpaceDN w:val="0"/>
      <w:adjustRightInd w:val="0"/>
      <w:spacing w:line="1" w:lineRule="atLeast"/>
      <w:ind w:left="1276" w:leftChars="-1" w:rightChars="0" w:hanging="283" w:firstLineChars="-1"/>
      <w:jc w:val="both"/>
      <w:textDirection w:val="btLr"/>
      <w:textAlignment w:val="baseline"/>
      <w:outlineLvl w:val="0"/>
    </w:pPr>
    <w:rPr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EstiloTítulo3+Depoisde:6pt">
    <w:name w:val="Estilo Título 3 + Depois de:  6 pt"/>
    <w:basedOn w:val="Heading3"/>
    <w:next w:val="EstiloTítulo3+Depoisde:6pt"/>
    <w:autoRedefine w:val="0"/>
    <w:hidden w:val="0"/>
    <w:qFormat w:val="0"/>
    <w:pPr>
      <w:keepNext w:val="1"/>
      <w:numPr>
        <w:ilvl w:val="2"/>
        <w:numId w:val="1"/>
      </w:numPr>
      <w:tabs>
        <w:tab w:val="left" w:leader="none" w:pos="1440"/>
      </w:tabs>
      <w:suppressAutoHyphens w:val="1"/>
      <w:overflowPunct w:val="0"/>
      <w:autoSpaceDE w:val="0"/>
      <w:autoSpaceDN w:val="0"/>
      <w:adjustRightInd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Arial" w:cs="Times New Roman" w:hAnsi="Arial"/>
      <w:b w:val="1"/>
      <w:bCs w:val="1"/>
      <w:w w:val="100"/>
      <w:position w:val="-1"/>
      <w:sz w:val="26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mmentSubject1">
    <w:name w:val="Comment Subject1"/>
    <w:basedOn w:val="CommentText"/>
    <w:next w:val="Comment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paragraph" w:styleId="tabela">
    <w:name w:val="tabela"/>
    <w:basedOn w:val="Normal"/>
    <w:next w:val="tabela"/>
    <w:autoRedefine w:val="0"/>
    <w:hidden w:val="0"/>
    <w:qFormat w:val="0"/>
    <w:pPr>
      <w:shd w:color="auto" w:fill="ffffff" w:val="clear"/>
      <w:suppressAutoHyphens w:val="1"/>
      <w:spacing w:after="270"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color w:val="111111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2SYPS6hRqUzk0wZm/CzcnBUVWQ==">CgMxLjA4AHIhMTJHUlFsb00zT0lib3huaDJFUGVxWndfWGhqTUNYeU5O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2014-04-10T16:42:00Z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Departamento">
    <vt:lpstr>DMP</vt:lpstr>
  </property>
  <property fmtid="{D5CDD505-2E9C-101B-9397-08002B2CF9AE}" pid="4" name="Objetivo">
    <vt:lpstr>Com Base ORDEM DE SERVIÇO PROEG Nº 002, DE 13 MARÇO DE 2000</vt:lpstr>
  </property>
  <property fmtid="{D5CDD505-2E9C-101B-9397-08002B2CF9AE}" pid="5" name="Proprietário">
    <vt:lpstr>Com Base ORDEM DE SERVIÇO PROEG Nº 002, DE 13 MARÇO DE 2000</vt:lpstr>
  </property>
  <property fmtid="{D5CDD505-2E9C-101B-9397-08002B2CF9AE}" pid="6" name="Objetivo">
    <vt:lpwstr>Com Base ORDEM DE SERVIÇO PROEG Nº 002, DE 13 MARÇO DE 2000</vt:lpwstr>
  </property>
  <property fmtid="{D5CDD505-2E9C-101B-9397-08002B2CF9AE}" pid="7" name="Departamento">
    <vt:lpwstr>DMP</vt:lpwstr>
  </property>
  <property fmtid="{D5CDD505-2E9C-101B-9397-08002B2CF9AE}" pid="8" name="Proprietário">
    <vt:lpwstr>Com Base ORDEM DE SERVIÇO PROEG Nº 002, DE 13 MARÇO DE 2000</vt:lpwstr>
  </property>
</Properties>
</file>