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Rio de Janeiro, 24 de abril de 2024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Ata extraordinária do colegiado do Instituto Villa-Lobos visando a formulação do Edital do THE 2025.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Aos treze dias do mês de junho foi realizada a reunião extraordinária com pauta única a respeito do Teste de Habilidade Específica 2025, THE 2025, do Instituto Villa-Lobos. Os NDE se pronunciaram quanto às modalidades pretendidas para a realização das provas do THE. O NDE de instrumentos informou que, tendo havido empate entre os seus membros na escolha da modalidade de THE a ser adotada, faria votação com todos/as os/as docentes dos cursos de instrumento e representantes discentes durante a reunião de colegiado. Nesta votação, ganhou por 16 (dezesseis) votos a 5 (cinco), e com zero abstenções, a modalidade remota. Assim, os NDE de MPB, Licenciatura e Instrumentos optaram por manter a modalidade remota. O NDE de composição optou por realizar um modo híbrido de realização das provas, tendo como primeira etapa as provas de execução instrumental e leitura à primeira vista a serem realizadas remotamente, e como segunda etapa, as provas de solfejo, teoria e ditado a serem realizadas presencialmente. Somente participarão da segunda etapa do THE de composição os candidatos e as candidatas aptas na primeira etapa do certame (etapa remota). O NDE de regência definiu inicialmente a modalidade inteiramente presencial das provas de THE para o seu respectivo curso. O presidente do NDE de regência e coordenador daquele curso, professor Guilherme Bernstein, indicou, no entanto, a possibilidade de mudança para outra modalidade caso facilite a realização do certame. O professor Sérgio Barrenechea, coordenador do THE, informou que se responsabilizará exclusivamente pela modalidade remota do certame e do seu respectivo edital, cabendo aos cursos que optaram por outra modalidade indicarem coordenador específico para a realização do edital e provas respectivas. Em seguida, foram votados os seguintes pontos para o Edital 2025: 1. Mudança do peso entre as provas do THE e do ENEM para ingresso no IVL:</w:t>
      </w:r>
      <w:r w:rsidDel="00000000" w:rsidR="00000000" w:rsidRPr="00000000">
        <w:rPr>
          <w:b w:val="1"/>
          <w:bCs w:val="1"/>
          <w:rtl w:val="0"/>
        </w:rPr>
        <w:t xml:space="preserve"> 17 (dezessete) votos para 60% de peso para as notas do  THE e 40% de peso para as notas do ENEM</w:t>
      </w:r>
      <w:r w:rsidDel="00000000" w:rsidR="00000000" w:rsidRPr="00000000">
        <w:rPr>
          <w:rtl w:val="0"/>
        </w:rPr>
        <w:t xml:space="preserve">, 13 (treze) votos para 50% de peso do THE e 50% de peso para a nota do ENEM; 7 (sete) abstenções; 2. Validade do THE,tendo como opções: 1. THE válido apenas para o ano de sua realização; 2. Prorrogação da validade por mais 1 (um) ano; 3 Prorrogação da validade por mais 2 (dois) anos. A votação teve o seguinte resultado: o THE será </w:t>
      </w:r>
      <w:r w:rsidDel="00000000" w:rsidR="00000000" w:rsidRPr="00000000">
        <w:rPr>
          <w:b w:val="1"/>
          <w:bCs w:val="1"/>
          <w:rtl w:val="0"/>
        </w:rPr>
        <w:t xml:space="preserve">válido apenas para o ano de sua realização, 25 (vinte e cinco) votos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  <w:t xml:space="preserve"> prorrogação da validade por mais 1 (um) ano, 9 (nove) votos; prorrogação da validade por mais 2 (dois) anos, 2 votos, abstenções 8 (oito) votos. Ganhou, portanto, a primeira opção, a dizer, </w:t>
      </w:r>
      <w:r w:rsidDel="00000000" w:rsidR="00000000" w:rsidRPr="00000000">
        <w:rPr>
          <w:b w:val="1"/>
          <w:bCs w:val="1"/>
          <w:rtl w:val="0"/>
        </w:rPr>
        <w:t xml:space="preserve">THE válido apenas para o ano de sua realização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Sem mais para a ser acrescentado, a reunião foi encerrada às onze horas e trinta minutos e foi lavrada a presente ata.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Marcelo Carneiro de Lima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Diretor do Instituto Villa-Lobos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UNIRIO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SIAPE: 1448997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4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5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B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C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D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