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1899920" cy="688975"/>
            <wp:effectExtent b="0" l="0" r="0" t="0"/>
            <wp:docPr descr="logo ppgbmc" id="1" name="image1.jpg"/>
            <a:graphic>
              <a:graphicData uri="http://schemas.openxmlformats.org/drawingml/2006/picture">
                <pic:pic>
                  <pic:nvPicPr>
                    <pic:cNvPr descr="logo ppgbmc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688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pm9budnv5dh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DISCIPLINAS A SEREM OFERTADAS EM 2026.2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65.0" w:type="dxa"/>
        <w:jc w:val="left"/>
        <w:tblInd w:w="-31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550"/>
        <w:gridCol w:w="1335"/>
        <w:gridCol w:w="705"/>
        <w:gridCol w:w="1050"/>
        <w:gridCol w:w="765"/>
        <w:gridCol w:w="1515"/>
        <w:gridCol w:w="1530"/>
        <w:gridCol w:w="1605"/>
        <w:gridCol w:w="1275"/>
        <w:gridCol w:w="2835"/>
        <w:tblGridChange w:id="0">
          <w:tblGrid>
            <w:gridCol w:w="2550"/>
            <w:gridCol w:w="1335"/>
            <w:gridCol w:w="705"/>
            <w:gridCol w:w="1050"/>
            <w:gridCol w:w="765"/>
            <w:gridCol w:w="1515"/>
            <w:gridCol w:w="1530"/>
            <w:gridCol w:w="1605"/>
            <w:gridCol w:w="1275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COMPONENTES CURRICULARES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C.H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Créditos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Vagas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DIA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Horário e local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Presencial ou misto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Será aberta vagas para alunos externos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Professor responsável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Karina Santos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Estágio em Docência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16P5D03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Estágio em Docência II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16P5D04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Quinta-feira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20h às 22h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      ou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Sexta-feira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8h às 12h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Escola de Nutrição ou Escola de medicina e Cirurgia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Rodolfo de Almeida Lima Castro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Soniza Leon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Ana Carolina Fonseca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Cleonice Alves de Melo Bento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16P5D05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Rodolfo de Almeida Lima Castro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16P5D05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16P5D05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Kênia Balbi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16P5D05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Beatriz Patrício e Cassiano 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Lívia Goes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Ana Carolina Proença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Tópicos Avançados em Biologia Molecular e Celular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16P5M60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07/09</w:t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a 31/10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todos os professores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Tópicos Avançados em Biologia Molecular e Celular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16P5D10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07/09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31/10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todos os professores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Estudos em Farmacogenética e Nutrigenética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16P5M34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23/09</w:t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09/12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14h às 18h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Instituto Biomédico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Kênia Balbi e Karina Santos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Estudos em Farmacogenética e Nutrigenética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16P5D29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23/09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09/12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14h às 18h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Instituto 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Biomédico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Kênia Balbi e Karina Santos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Farmacologia Aplicada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16P5D10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17/08</w:t>
            </w:r>
          </w:p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04/09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Sala de aula presencial  e hibrída (Fundação Oswaldo Cruz)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Farmacologia Aplicada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16P5M49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17/08</w:t>
            </w:r>
          </w:p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04/09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Sala de aula presencial  e hibrída (Fundação Oswaldo Cruz)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Extensão na Pós-Graduação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16P5M69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Extensão na Pós-Graduação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16P5D47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Regulação da Expressão Gênica da resposta imune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16P5M14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23 a 27 novembro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9h às 17h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Cleonice Alves de Melo Bento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Regulação da Expressão Gênica da resposta imune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16P5D20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23 a 27 novembro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9h às 17h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Cleonice Alves de Melo Bento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Atividades Acadêmicas na Pós-Graduação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16P5M70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Atividades Acadêmicas na Pós-Graduação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16P5D48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</w:tbl>
    <w:p w:rsidR="00000000" w:rsidDel="00000000" w:rsidP="00000000" w:rsidRDefault="00000000" w:rsidRPr="00000000" w14:paraId="00000138">
      <w:pPr>
        <w:ind w:left="0" w:firstLine="0"/>
        <w:rPr/>
        <w:sectPr>
          <w:pgSz w:h="11906" w:w="16838" w:orient="landscape"/>
          <w:pgMar w:bottom="1417" w:top="1417" w:left="1701" w:right="1701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1417" w:top="1417" w:left="1701" w:right="1701" w:header="708" w:footer="708"/>
      <w:cols w:equalWidth="0" w:num="2">
        <w:col w:space="708" w:w="6364.000000000001"/>
        <w:col w:space="0" w:w="6364.000000000001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NYAfStHO/H1J6VfKgmjMXxkXQ==">CgMxLjAyDWgucG05YnVkbnY1ZGg4AHIhMU9BS1NhNjNtWWE4M3JEblhRdGVuNm9JY0d6X1BJRkxH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